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left="-450" w:firstLine="0"/>
        <w:rPr>
          <w:rFonts w:ascii="Helvetica Neue" w:cs="Helvetica Neue" w:eastAsia="Helvetica Neue" w:hAnsi="Helvetica Neue"/>
          <w:b w:val="1"/>
          <w:sz w:val="34"/>
          <w:szCs w:val="34"/>
        </w:rPr>
      </w:pPr>
      <w:r w:rsidDel="00000000" w:rsidR="00000000" w:rsidRPr="00000000">
        <w:rPr>
          <w:rFonts w:ascii="Helvetica Neue" w:cs="Helvetica Neue" w:eastAsia="Helvetica Neue" w:hAnsi="Helvetica Neue"/>
          <w:b w:val="1"/>
          <w:sz w:val="34"/>
          <w:szCs w:val="34"/>
        </w:rPr>
        <w:drawing>
          <wp:inline distB="114300" distT="114300" distL="114300" distR="114300">
            <wp:extent cx="8642312" cy="6681788"/>
            <wp:effectExtent b="0" l="0" r="0" t="0"/>
            <wp:docPr id="1" name="image1.jpg"/>
            <a:graphic>
              <a:graphicData uri="http://schemas.openxmlformats.org/drawingml/2006/picture">
                <pic:pic>
                  <pic:nvPicPr>
                    <pic:cNvPr id="0" name="image1.jpg"/>
                    <pic:cNvPicPr preferRelativeResize="0"/>
                  </pic:nvPicPr>
                  <pic:blipFill>
                    <a:blip r:embed="rId8"/>
                    <a:srcRect b="0" l="41" r="41" t="0"/>
                    <a:stretch>
                      <a:fillRect/>
                    </a:stretch>
                  </pic:blipFill>
                  <pic:spPr>
                    <a:xfrm>
                      <a:off x="0" y="0"/>
                      <a:ext cx="8642312" cy="66817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34"/>
          <w:szCs w:val="34"/>
          <w:rtl w:val="0"/>
        </w:rPr>
        <w:t xml:space="preserve">Colorado Charter School Authorizer Self-Evaluation </w:t>
      </w:r>
      <w:r w:rsidDel="00000000" w:rsidR="00000000" w:rsidRPr="00000000">
        <w:rPr>
          <w:rFonts w:ascii="Helvetica Neue" w:cs="Helvetica Neue" w:eastAsia="Helvetica Neue" w:hAnsi="Helvetica Neue"/>
          <w:b w:val="1"/>
          <w:sz w:val="34"/>
          <w:szCs w:val="34"/>
          <w:rtl w:val="0"/>
        </w:rPr>
        <w:t xml:space="preserve">Tool</w:t>
      </w:r>
      <w:r w:rsidDel="00000000" w:rsidR="00000000" w:rsidRPr="00000000">
        <w:rPr>
          <w:rFonts w:ascii="Helvetica Neue" w:cs="Helvetica Neue" w:eastAsia="Helvetica Neue" w:hAnsi="Helvetica Neue"/>
          <w:b w:val="1"/>
          <w:sz w:val="34"/>
          <w:szCs w:val="34"/>
          <w:rtl w:val="0"/>
        </w:rPr>
        <w:br w:type="textWrapping"/>
      </w:r>
      <w:r w:rsidDel="00000000" w:rsidR="00000000" w:rsidRPr="00000000">
        <w:rPr>
          <w:rFonts w:ascii="Helvetica Neue" w:cs="Helvetica Neue" w:eastAsia="Helvetica Neue" w:hAnsi="Helvetica Neue"/>
          <w:b w:val="1"/>
          <w:sz w:val="20"/>
          <w:szCs w:val="20"/>
          <w:rtl w:val="0"/>
        </w:rPr>
        <w:t xml:space="preserve">Published: September 2025</w:t>
      </w:r>
    </w:p>
    <w:p w:rsidR="00000000" w:rsidDel="00000000" w:rsidP="00000000" w:rsidRDefault="00000000" w:rsidRPr="00000000" w14:paraId="00000003">
      <w:pPr>
        <w:spacing w:after="0" w:before="0" w:lineRule="auto"/>
        <w:rPr>
          <w:rFonts w:ascii="Helvetica Neue" w:cs="Helvetica Neue" w:eastAsia="Helvetica Neue" w:hAnsi="Helvetica Neue"/>
          <w:b w:val="1"/>
          <w:sz w:val="34"/>
          <w:szCs w:val="34"/>
        </w:rPr>
      </w:pPr>
      <w:r w:rsidDel="00000000" w:rsidR="00000000" w:rsidRPr="00000000">
        <w:rPr>
          <w:rtl w:val="0"/>
        </w:rPr>
      </w:r>
    </w:p>
    <w:p w:rsidR="00000000" w:rsidDel="00000000" w:rsidP="00000000" w:rsidRDefault="00000000" w:rsidRPr="00000000" w14:paraId="00000004">
      <w:pPr>
        <w:spacing w:after="0" w:before="0" w:lineRule="auto"/>
        <w:rPr>
          <w:rFonts w:ascii="Helvetica Neue" w:cs="Helvetica Neue" w:eastAsia="Helvetica Neue" w:hAnsi="Helvetica Neu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spacing w:after="0" w:before="0" w:lineRule="auto"/>
        <w:rPr>
          <w:rFonts w:ascii="Helvetica Neue" w:cs="Helvetica Neue" w:eastAsia="Helvetica Neue" w:hAnsi="Helvetica Neue"/>
          <w:b w:val="1"/>
          <w:color w:val="000000"/>
          <w:sz w:val="30"/>
          <w:szCs w:val="30"/>
        </w:rPr>
      </w:pPr>
      <w:r w:rsidDel="00000000" w:rsidR="00000000" w:rsidRPr="00000000">
        <w:rPr>
          <w:rtl w:val="0"/>
        </w:rPr>
      </w:r>
    </w:p>
    <w:sdt>
      <w:sdtPr>
        <w:id w:val="333345990"/>
        <w:tag w:val="goog_rdk_0"/>
      </w:sdtPr>
      <w:sdtContent>
        <w:p w:rsidR="00000000" w:rsidDel="00000000" w:rsidP="00000000" w:rsidRDefault="00000000" w:rsidRPr="00000000" w14:paraId="00000006">
          <w:pPr>
            <w:pStyle w:val="Heading2"/>
            <w:spacing w:after="0" w:before="0" w:lineRule="auto"/>
            <w:rPr>
              <w:rFonts w:ascii="Helvetica Neue" w:cs="Helvetica Neue" w:eastAsia="Helvetica Neue" w:hAnsi="Helvetica Neue"/>
              <w:b w:val="1"/>
              <w:color w:val="000000"/>
              <w:sz w:val="30"/>
              <w:szCs w:val="30"/>
            </w:rPr>
          </w:pPr>
          <w:r w:rsidDel="00000000" w:rsidR="00000000" w:rsidRPr="00000000">
            <w:rPr>
              <w:rFonts w:ascii="Helvetica Neue" w:cs="Helvetica Neue" w:eastAsia="Helvetica Neue" w:hAnsi="Helvetica Neue"/>
              <w:b w:val="1"/>
              <w:color w:val="000000"/>
              <w:sz w:val="30"/>
              <w:szCs w:val="30"/>
              <w:rtl w:val="0"/>
            </w:rPr>
            <w:t xml:space="preserve">Purpose</w:t>
          </w:r>
        </w:p>
      </w:sdtContent>
    </w:sdt>
    <w:p w:rsidR="00000000" w:rsidDel="00000000" w:rsidP="00000000" w:rsidRDefault="00000000" w:rsidRPr="00000000" w14:paraId="00000007">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self-evaluation tool is designed to help Colorado charter school authorizers assess their practices against both NACSA’s </w:t>
      </w:r>
      <w:r w:rsidDel="00000000" w:rsidR="00000000" w:rsidRPr="00000000">
        <w:rPr>
          <w:rFonts w:ascii="Helvetica Neue" w:cs="Helvetica Neue" w:eastAsia="Helvetica Neue" w:hAnsi="Helvetica Neue"/>
          <w:i w:val="1"/>
          <w:rtl w:val="0"/>
        </w:rPr>
        <w:t xml:space="preserve">Principles &amp; Standards</w:t>
      </w:r>
      <w:r w:rsidDel="00000000" w:rsidR="00000000" w:rsidRPr="00000000">
        <w:rPr>
          <w:rFonts w:ascii="Helvetica Neue" w:cs="Helvetica Neue" w:eastAsia="Helvetica Neue" w:hAnsi="Helvetica Neue"/>
          <w:i w:val="1"/>
          <w:vertAlign w:val="superscript"/>
        </w:rPr>
        <w:footnoteReference w:customMarkFollows="0" w:id="0"/>
      </w:r>
      <w:r w:rsidDel="00000000" w:rsidR="00000000" w:rsidRPr="00000000">
        <w:rPr>
          <w:rFonts w:ascii="Helvetica Neue" w:cs="Helvetica Neue" w:eastAsia="Helvetica Neue" w:hAnsi="Helvetica Neue"/>
          <w:rtl w:val="0"/>
        </w:rPr>
        <w:t xml:space="preserve"> and the Colorado State Authorizer Standards</w:t>
      </w:r>
      <w:r w:rsidDel="00000000" w:rsidR="00000000" w:rsidRPr="00000000">
        <w:rPr>
          <w:rFonts w:ascii="Helvetica Neue" w:cs="Helvetica Neue" w:eastAsia="Helvetica Neue" w:hAnsi="Helvetica Neue"/>
          <w:vertAlign w:val="superscript"/>
        </w:rPr>
        <w:footnoteReference w:customMarkFollows="0" w:id="1"/>
      </w:r>
      <w:r w:rsidDel="00000000" w:rsidR="00000000" w:rsidRPr="00000000">
        <w:rPr>
          <w:rFonts w:ascii="Helvetica Neue" w:cs="Helvetica Neue" w:eastAsia="Helvetica Neue" w:hAnsi="Helvetica Neue"/>
          <w:rtl w:val="0"/>
        </w:rPr>
        <w:t xml:space="preserve"> (1 CCR 301-88). NACSA’s </w:t>
      </w:r>
      <w:r w:rsidDel="00000000" w:rsidR="00000000" w:rsidRPr="00000000">
        <w:rPr>
          <w:rFonts w:ascii="Helvetica Neue" w:cs="Helvetica Neue" w:eastAsia="Helvetica Neue" w:hAnsi="Helvetica Neue"/>
          <w:i w:val="1"/>
          <w:rtl w:val="0"/>
        </w:rPr>
        <w:t xml:space="preserve">Principles &amp; Standards</w:t>
      </w:r>
      <w:r w:rsidDel="00000000" w:rsidR="00000000" w:rsidRPr="00000000">
        <w:rPr>
          <w:rFonts w:ascii="Helvetica Neue" w:cs="Helvetica Neue" w:eastAsia="Helvetica Neue" w:hAnsi="Helvetica Neue"/>
          <w:rtl w:val="0"/>
        </w:rPr>
        <w:t xml:space="preserve"> are the nationally recognized benchmark for quality charter school authorizing, developed through two decades of research, field input, and consensus across the authorizing community. They articulate five core domains that define essential practices of effective authorizing:</w:t>
      </w:r>
    </w:p>
    <w:p w:rsidR="00000000" w:rsidDel="00000000" w:rsidP="00000000" w:rsidRDefault="00000000" w:rsidRPr="00000000" w14:paraId="00000008">
      <w:pPr>
        <w:numPr>
          <w:ilvl w:val="0"/>
          <w:numId w:val="8"/>
        </w:numPr>
        <w:spacing w:after="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Agency Commitment &amp; Capacity</w:t>
      </w:r>
    </w:p>
    <w:p w:rsidR="00000000" w:rsidDel="00000000" w:rsidP="00000000" w:rsidRDefault="00000000" w:rsidRPr="00000000" w14:paraId="00000009">
      <w:pPr>
        <w:numPr>
          <w:ilvl w:val="0"/>
          <w:numId w:val="8"/>
        </w:numPr>
        <w:spacing w:after="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Application Process &amp; Decision-Making</w:t>
      </w:r>
    </w:p>
    <w:p w:rsidR="00000000" w:rsidDel="00000000" w:rsidP="00000000" w:rsidRDefault="00000000" w:rsidRPr="00000000" w14:paraId="0000000A">
      <w:pPr>
        <w:numPr>
          <w:ilvl w:val="0"/>
          <w:numId w:val="8"/>
        </w:numPr>
        <w:spacing w:after="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Performance Contracting</w:t>
      </w:r>
    </w:p>
    <w:p w:rsidR="00000000" w:rsidDel="00000000" w:rsidP="00000000" w:rsidRDefault="00000000" w:rsidRPr="00000000" w14:paraId="0000000B">
      <w:pPr>
        <w:numPr>
          <w:ilvl w:val="0"/>
          <w:numId w:val="8"/>
        </w:numPr>
        <w:spacing w:after="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Ongoing Oversight &amp; Evaluation</w:t>
      </w:r>
    </w:p>
    <w:p w:rsidR="00000000" w:rsidDel="00000000" w:rsidP="00000000" w:rsidRDefault="00000000" w:rsidRPr="00000000" w14:paraId="0000000C">
      <w:pPr>
        <w:numPr>
          <w:ilvl w:val="0"/>
          <w:numId w:val="8"/>
        </w:numPr>
        <w:spacing w:after="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Revocation &amp; Renewal</w:t>
      </w:r>
    </w:p>
    <w:p w:rsidR="00000000" w:rsidDel="00000000" w:rsidP="00000000" w:rsidRDefault="00000000" w:rsidRPr="00000000" w14:paraId="0000000D">
      <w:pPr>
        <w:spacing w:after="0" w:before="0" w:lineRule="auto"/>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E">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Colorado Department of Education developed the Colorado Authorizer Standards in collaboration with CACSA and authorizers across the state. They are codified in rule and ensure alignment to both state statutory requirements and national best practices. By integrating the Colorado standards with NACSA’s framework, this tool provides authorizers with a comprehensive reflection and improvement resource that is both nationally grounded and locally tailored.</w:t>
      </w:r>
    </w:p>
    <w:p w:rsidR="00000000" w:rsidDel="00000000" w:rsidP="00000000" w:rsidRDefault="00000000" w:rsidRPr="00000000" w14:paraId="0000000F">
      <w:pPr>
        <w:spacing w:after="0" w:before="0" w:lineRule="auto"/>
        <w:rPr>
          <w:rFonts w:ascii="Helvetica Neue" w:cs="Helvetica Neue" w:eastAsia="Helvetica Neue" w:hAnsi="Helvetica Neue"/>
        </w:rPr>
      </w:pPr>
      <w:r w:rsidDel="00000000" w:rsidR="00000000" w:rsidRPr="00000000">
        <w:rPr>
          <w:rtl w:val="0"/>
        </w:rPr>
      </w:r>
    </w:p>
    <w:sdt>
      <w:sdtPr>
        <w:id w:val="-1733843350"/>
        <w:tag w:val="goog_rdk_1"/>
      </w:sdtPr>
      <w:sdtContent>
        <w:p w:rsidR="00000000" w:rsidDel="00000000" w:rsidP="00000000" w:rsidRDefault="00000000" w:rsidRPr="00000000" w14:paraId="00000010">
          <w:pPr>
            <w:pStyle w:val="Heading2"/>
            <w:spacing w:after="0" w:before="0" w:lineRule="auto"/>
            <w:rPr>
              <w:rFonts w:ascii="Helvetica Neue" w:cs="Helvetica Neue" w:eastAsia="Helvetica Neue" w:hAnsi="Helvetica Neue"/>
              <w:b w:val="1"/>
              <w:color w:val="000000"/>
              <w:sz w:val="30"/>
              <w:szCs w:val="30"/>
            </w:rPr>
          </w:pPr>
          <w:bookmarkStart w:colFirst="0" w:colLast="0" w:name="_heading=h.kg980bju9blf" w:id="0"/>
          <w:bookmarkEnd w:id="0"/>
          <w:r w:rsidDel="00000000" w:rsidR="00000000" w:rsidRPr="00000000">
            <w:rPr>
              <w:rFonts w:ascii="Helvetica Neue" w:cs="Helvetica Neue" w:eastAsia="Helvetica Neue" w:hAnsi="Helvetica Neue"/>
              <w:b w:val="1"/>
              <w:color w:val="000000"/>
              <w:sz w:val="30"/>
              <w:szCs w:val="30"/>
              <w:rtl w:val="0"/>
            </w:rPr>
            <w:t xml:space="preserve">Instructions for Use</w:t>
          </w:r>
        </w:p>
      </w:sdtContent>
    </w:sdt>
    <w:p w:rsidR="00000000" w:rsidDel="00000000" w:rsidP="00000000" w:rsidRDefault="00000000" w:rsidRPr="00000000" w14:paraId="00000011">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Step 1. </w:t>
      </w:r>
      <w:r w:rsidDel="00000000" w:rsidR="00000000" w:rsidRPr="00000000">
        <w:rPr>
          <w:rFonts w:ascii="Helvetica Neue" w:cs="Helvetica Neue" w:eastAsia="Helvetica Neue" w:hAnsi="Helvetica Neue"/>
          <w:b w:val="1"/>
          <w:rtl w:val="0"/>
        </w:rPr>
        <w:t xml:space="preserve">Rate Your Authorizing Practices</w:t>
        <w:br w:type="textWrapping"/>
      </w:r>
      <w:r w:rsidDel="00000000" w:rsidR="00000000" w:rsidRPr="00000000">
        <w:rPr>
          <w:rFonts w:ascii="Helvetica Neue" w:cs="Helvetica Neue" w:eastAsia="Helvetica Neue" w:hAnsi="Helvetica Neue"/>
          <w:rtl w:val="0"/>
        </w:rPr>
        <w:t xml:space="preserve">For each indicator in every domain, assign one of the following point values:</w:t>
      </w:r>
    </w:p>
    <w:p w:rsidR="00000000" w:rsidDel="00000000" w:rsidP="00000000" w:rsidRDefault="00000000" w:rsidRPr="00000000" w14:paraId="00000012">
      <w:pPr>
        <w:numPr>
          <w:ilvl w:val="0"/>
          <w:numId w:val="6"/>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Established (1 point):</w:t>
      </w:r>
      <w:r w:rsidDel="00000000" w:rsidR="00000000" w:rsidRPr="00000000">
        <w:rPr>
          <w:rFonts w:ascii="Helvetica Neue" w:cs="Helvetica Neue" w:eastAsia="Helvetica Neue" w:hAnsi="Helvetica Neue"/>
          <w:rtl w:val="0"/>
        </w:rPr>
        <w:t xml:space="preserve"> Fully meets the expectation.</w:t>
        <w:br w:type="textWrapping"/>
      </w:r>
    </w:p>
    <w:p w:rsidR="00000000" w:rsidDel="00000000" w:rsidP="00000000" w:rsidRDefault="00000000" w:rsidRPr="00000000" w14:paraId="00000013">
      <w:pPr>
        <w:numPr>
          <w:ilvl w:val="0"/>
          <w:numId w:val="6"/>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Partially Established (0.5 points):</w:t>
      </w:r>
      <w:r w:rsidDel="00000000" w:rsidR="00000000" w:rsidRPr="00000000">
        <w:rPr>
          <w:rFonts w:ascii="Helvetica Neue" w:cs="Helvetica Neue" w:eastAsia="Helvetica Neue" w:hAnsi="Helvetica Neue"/>
          <w:rtl w:val="0"/>
        </w:rPr>
        <w:t xml:space="preserve"> In progress but not consistent.</w:t>
        <w:br w:type="textWrapping"/>
      </w:r>
    </w:p>
    <w:p w:rsidR="00000000" w:rsidDel="00000000" w:rsidP="00000000" w:rsidRDefault="00000000" w:rsidRPr="00000000" w14:paraId="00000014">
      <w:pPr>
        <w:numPr>
          <w:ilvl w:val="0"/>
          <w:numId w:val="6"/>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Not Established (0 points):</w:t>
      </w:r>
      <w:r w:rsidDel="00000000" w:rsidR="00000000" w:rsidRPr="00000000">
        <w:rPr>
          <w:rFonts w:ascii="Helvetica Neue" w:cs="Helvetica Neue" w:eastAsia="Helvetica Neue" w:hAnsi="Helvetica Neue"/>
          <w:rtl w:val="0"/>
        </w:rPr>
        <w:t xml:space="preserve"> No evidence or practice in place.</w:t>
        <w:br w:type="textWrapping"/>
      </w:r>
    </w:p>
    <w:p w:rsidR="00000000" w:rsidDel="00000000" w:rsidP="00000000" w:rsidRDefault="00000000" w:rsidRPr="00000000" w14:paraId="00000015">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Step 2. Document Evidence</w:t>
        <w:br w:type="textWrapping"/>
      </w:r>
      <w:r w:rsidDel="00000000" w:rsidR="00000000" w:rsidRPr="00000000">
        <w:rPr>
          <w:rFonts w:ascii="Helvetica Neue" w:cs="Helvetica Neue" w:eastAsia="Helvetica Neue" w:hAnsi="Helvetica Neue"/>
          <w:rtl w:val="0"/>
        </w:rPr>
        <w:t xml:space="preserve">Identify and collect supporting materials (e.g., policies, contracts, reports, board minutes, artifacts) that justify the rating given for each indicator.</w:t>
      </w:r>
    </w:p>
    <w:p w:rsidR="00000000" w:rsidDel="00000000" w:rsidP="00000000" w:rsidRDefault="00000000" w:rsidRPr="00000000" w14:paraId="00000016">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Step 3. Complete the Summary Dashboard</w:t>
        <w:br w:type="textWrapping"/>
      </w:r>
      <w:r w:rsidDel="00000000" w:rsidR="00000000" w:rsidRPr="00000000">
        <w:rPr>
          <w:rFonts w:ascii="Helvetica Neue" w:cs="Helvetica Neue" w:eastAsia="Helvetica Neue" w:hAnsi="Helvetica Neue"/>
          <w:rtl w:val="0"/>
        </w:rPr>
        <w:t xml:space="preserve">After scoring all indicators in a domain, total the points earned and enter the score in the dashboard. Then, as a group, identify and record the </w:t>
      </w:r>
      <w:r w:rsidDel="00000000" w:rsidR="00000000" w:rsidRPr="00000000">
        <w:rPr>
          <w:rFonts w:ascii="Helvetica Neue" w:cs="Helvetica Neue" w:eastAsia="Helvetica Neue" w:hAnsi="Helvetica Neue"/>
          <w:b w:val="1"/>
          <w:rtl w:val="0"/>
        </w:rPr>
        <w:t xml:space="preserve">Top Strengths</w:t>
      </w:r>
      <w:r w:rsidDel="00000000" w:rsidR="00000000" w:rsidRPr="00000000">
        <w:rPr>
          <w:rFonts w:ascii="Helvetica Neue" w:cs="Helvetica Neue" w:eastAsia="Helvetica Neue" w:hAnsi="Helvetica Neue"/>
          <w:rtl w:val="0"/>
        </w:rPr>
        <w:t xml:space="preserve"> and </w:t>
      </w:r>
      <w:r w:rsidDel="00000000" w:rsidR="00000000" w:rsidRPr="00000000">
        <w:rPr>
          <w:rFonts w:ascii="Helvetica Neue" w:cs="Helvetica Neue" w:eastAsia="Helvetica Neue" w:hAnsi="Helvetica Neue"/>
          <w:b w:val="1"/>
          <w:rtl w:val="0"/>
        </w:rPr>
        <w:t xml:space="preserve">Top Areas for Improvement</w:t>
      </w:r>
      <w:r w:rsidDel="00000000" w:rsidR="00000000" w:rsidRPr="00000000">
        <w:rPr>
          <w:rFonts w:ascii="Helvetica Neue" w:cs="Helvetica Neue" w:eastAsia="Helvetica Neue" w:hAnsi="Helvetica Neue"/>
          <w:rtl w:val="0"/>
        </w:rPr>
        <w:t xml:space="preserve"> for each domain.</w:t>
      </w:r>
    </w:p>
    <w:p w:rsidR="00000000" w:rsidDel="00000000" w:rsidP="00000000" w:rsidRDefault="00000000" w:rsidRPr="00000000" w14:paraId="00000017">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Step 4. Reflect as a Team</w:t>
        <w:br w:type="textWrapping"/>
      </w:r>
      <w:r w:rsidDel="00000000" w:rsidR="00000000" w:rsidRPr="00000000">
        <w:rPr>
          <w:rFonts w:ascii="Helvetica Neue" w:cs="Helvetica Neue" w:eastAsia="Helvetica Neue" w:hAnsi="Helvetica Neue"/>
          <w:rtl w:val="0"/>
        </w:rPr>
        <w:t xml:space="preserve">Use the reflective prompts provided in each section to guide discussion. Involve multiple departments (finance, legal, curriculum, special education, etc.) so that the evidence is comprehensive and perspectives are diverse.</w:t>
      </w:r>
    </w:p>
    <w:p w:rsidR="00000000" w:rsidDel="00000000" w:rsidP="00000000" w:rsidRDefault="00000000" w:rsidRPr="00000000" w14:paraId="00000018">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Step 5. Plan Improvements</w:t>
        <w:br w:type="textWrapping"/>
      </w:r>
      <w:r w:rsidDel="00000000" w:rsidR="00000000" w:rsidRPr="00000000">
        <w:rPr>
          <w:rFonts w:ascii="Helvetica Neue" w:cs="Helvetica Neue" w:eastAsia="Helvetica Neue" w:hAnsi="Helvetica Neue"/>
          <w:rtl w:val="0"/>
        </w:rPr>
        <w:t xml:space="preserve">Review the suggested next steps included in this document. As a team, prioritize the areas needing attention and set measurable goals for the next cycle.</w:t>
      </w:r>
    </w:p>
    <w:p w:rsidR="00000000" w:rsidDel="00000000" w:rsidP="00000000" w:rsidRDefault="00000000" w:rsidRPr="00000000" w14:paraId="00000019">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Who Completes This</w:t>
        <w:br w:type="textWrapping"/>
      </w:r>
      <w:r w:rsidDel="00000000" w:rsidR="00000000" w:rsidRPr="00000000">
        <w:rPr>
          <w:rFonts w:ascii="Helvetica Neue" w:cs="Helvetica Neue" w:eastAsia="Helvetica Neue" w:hAnsi="Helvetica Neue"/>
          <w:rtl w:val="0"/>
        </w:rPr>
        <w:t xml:space="preserve">The tool should be completed collaboratively by authorizing staff. In districts without a dedicated authorizing office, the superintendent or a designee may lead. Other district staff who work with charter schools should be included as appropriate. The lead authorizing staff member or designee is responsible for facilitating evidence collection and reflection sessions.</w:t>
      </w:r>
    </w:p>
    <w:p w:rsidR="00000000" w:rsidDel="00000000" w:rsidP="00000000" w:rsidRDefault="00000000" w:rsidRPr="00000000" w14:paraId="0000001A">
      <w:pPr>
        <w:spacing w:after="240" w:befor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Scoring and Use</w:t>
      </w:r>
    </w:p>
    <w:p w:rsidR="00000000" w:rsidDel="00000000" w:rsidP="00000000" w:rsidRDefault="00000000" w:rsidRPr="00000000" w14:paraId="0000001B">
      <w:pPr>
        <w:numPr>
          <w:ilvl w:val="0"/>
          <w:numId w:val="4"/>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Each indicator is rated individually using the point scale (1 / 0.5 / 0).</w:t>
        <w:br w:type="textWrapping"/>
      </w:r>
    </w:p>
    <w:p w:rsidR="00000000" w:rsidDel="00000000" w:rsidP="00000000" w:rsidRDefault="00000000" w:rsidRPr="00000000" w14:paraId="0000001C">
      <w:pPr>
        <w:numPr>
          <w:ilvl w:val="0"/>
          <w:numId w:val="4"/>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Domain scores are totals that provide a snapshot of current practice.</w:t>
        <w:br w:type="textWrapping"/>
      </w:r>
    </w:p>
    <w:p w:rsidR="00000000" w:rsidDel="00000000" w:rsidP="00000000" w:rsidRDefault="00000000" w:rsidRPr="00000000" w14:paraId="0000001D">
      <w:pPr>
        <w:numPr>
          <w:ilvl w:val="0"/>
          <w:numId w:val="4"/>
        </w:numPr>
        <w:spacing w:after="24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are no “right” or “wrong” answers or scores. The purpose is to use the tool over time to track improvement, guide conversations, and build shared accountability.</w:t>
      </w:r>
    </w:p>
    <w:p w:rsidR="00000000" w:rsidDel="00000000" w:rsidP="00000000" w:rsidRDefault="00000000" w:rsidRPr="00000000" w14:paraId="0000001E">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CACSA provides resources, coaching, and convenings to support this work. Authorizers are encouraged to complete the tool annually and use the results to measure growth and inform planning.</w:t>
      </w:r>
    </w:p>
    <w:p w:rsidR="00000000" w:rsidDel="00000000" w:rsidP="00000000" w:rsidRDefault="00000000" w:rsidRPr="00000000" w14:paraId="0000001F">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Authorizers should allocate approximately 60–90 minutes to complete this exercise if being done individually, or up to 2-3 hours for a collaborative team-based review. If facilitating a meeting, it is recommended that participants receive the tool in advance and complete an initial draft independently or in departmental teams before convening. This allows meeting time to focus on discussion, calibration, and action planning.</w:t>
      </w:r>
    </w:p>
    <w:p w:rsidR="00000000" w:rsidDel="00000000" w:rsidP="00000000" w:rsidRDefault="00000000" w:rsidRPr="00000000" w14:paraId="0000002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CACSA is available to facilitate or co-facilitate self-evaluation sessions, provide feedback, and help identify areas for deeper reflection or improvement prior to submission. We encourage authorizers to reach out if they would like additional support designing or guiding this process.</w:t>
      </w:r>
    </w:p>
    <w:p w:rsidR="00000000" w:rsidDel="00000000" w:rsidP="00000000" w:rsidRDefault="00000000" w:rsidRPr="00000000" w14:paraId="00000021">
      <w:pPr>
        <w:spacing w:after="240" w:before="240" w:lineRule="auto"/>
        <w:rPr>
          <w:rFonts w:ascii="Helvetica Neue" w:cs="Helvetica Neue" w:eastAsia="Helvetica Neue" w:hAnsi="Helvetica Neue"/>
          <w:b w:val="1"/>
          <w:highlight w:val="yellow"/>
        </w:rPr>
      </w:pPr>
      <w:r w:rsidDel="00000000" w:rsidR="00000000" w:rsidRPr="00000000">
        <w:rPr>
          <w:rtl w:val="0"/>
        </w:rPr>
      </w:r>
    </w:p>
    <w:p w:rsidR="00000000" w:rsidDel="00000000" w:rsidP="00000000" w:rsidRDefault="00000000" w:rsidRPr="00000000" w14:paraId="00000022">
      <w:pPr>
        <w:pStyle w:val="Heading1"/>
        <w:spacing w:after="0" w:before="0" w:lineRule="auto"/>
        <w:rPr>
          <w:rFonts w:ascii="Helvetica Neue" w:cs="Helvetica Neue" w:eastAsia="Helvetica Neue" w:hAnsi="Helvetica Neue"/>
          <w:color w:val="000000"/>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sdt>
      <w:sdtPr>
        <w:id w:val="-2058919208"/>
        <w:tag w:val="goog_rdk_2"/>
      </w:sdtPr>
      <w:sdtContent>
        <w:p w:rsidR="00000000" w:rsidDel="00000000" w:rsidP="00000000" w:rsidRDefault="00000000" w:rsidRPr="00000000" w14:paraId="00000029">
          <w:pPr>
            <w:pStyle w:val="Heading1"/>
            <w:spacing w:after="0" w:before="0" w:lineRule="auto"/>
            <w:rPr>
              <w:rFonts w:ascii="Helvetica Neue" w:cs="Helvetica Neue" w:eastAsia="Helvetica Neue" w:hAnsi="Helvetica Neue"/>
              <w:color w:val="000000"/>
              <w:sz w:val="24"/>
              <w:szCs w:val="24"/>
            </w:rPr>
          </w:pPr>
          <w:r w:rsidDel="00000000" w:rsidR="00000000" w:rsidRPr="00000000">
            <w:rPr>
              <w:rFonts w:ascii="Helvetica Neue" w:cs="Helvetica Neue" w:eastAsia="Helvetica Neue" w:hAnsi="Helvetica Neue"/>
              <w:b w:val="1"/>
              <w:color w:val="000000"/>
              <w:sz w:val="30"/>
              <w:szCs w:val="30"/>
              <w:rtl w:val="0"/>
            </w:rPr>
            <w:t xml:space="preserve">Domain A: Agency Commitment &amp; Capacity (CO 3.02)</w:t>
          </w:r>
          <w:r w:rsidDel="00000000" w:rsidR="00000000" w:rsidRPr="00000000">
            <w:rPr>
              <w:rtl w:val="0"/>
            </w:rPr>
          </w:r>
        </w:p>
      </w:sdtContent>
    </w:sdt>
    <w:tbl>
      <w:tblPr>
        <w:tblStyle w:val="Table1"/>
        <w:tblW w:w="13155.0" w:type="dxa"/>
        <w:jc w:val="left"/>
        <w:tblInd w:w="-108.0" w:type="dxa"/>
        <w:tblLayout w:type="fixed"/>
        <w:tblLook w:val="0020"/>
      </w:tblPr>
      <w:tblGrid>
        <w:gridCol w:w="2640"/>
        <w:gridCol w:w="2745"/>
        <w:gridCol w:w="2520"/>
        <w:gridCol w:w="2625"/>
        <w:gridCol w:w="2625"/>
        <w:tblGridChange w:id="0">
          <w:tblGrid>
            <w:gridCol w:w="2640"/>
            <w:gridCol w:w="2745"/>
            <w:gridCol w:w="2520"/>
            <w:gridCol w:w="2625"/>
            <w:gridCol w:w="2625"/>
          </w:tblGrid>
        </w:tblGridChange>
      </w:tblGrid>
      <w:tr>
        <w:trPr>
          <w:cantSplit w:val="0"/>
          <w:trHeight w:val="694.921875" w:hRule="atLeast"/>
          <w:tblHeader w:val="1"/>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Indicator</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Colorado Standard Reference </w:t>
            </w:r>
            <w:r w:rsidDel="00000000" w:rsidR="00000000" w:rsidRPr="00000000">
              <w:rPr>
                <w:rFonts w:ascii="Helvetica Neue" w:cs="Helvetica Neue" w:eastAsia="Helvetica Neue" w:hAnsi="Helvetica Neue"/>
                <w:b w:val="1"/>
                <w:rtl w:val="0"/>
              </w:rPr>
              <w:t xml:space="preserve">/ NACSA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Rating</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Evidence Examples</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Reflective Prompts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The a</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uthorizer states a clear mission for quality authorizing.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3.02(A)(6)</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w:t>
            </w:r>
            <w:r w:rsidDel="00000000" w:rsidR="00000000" w:rsidRPr="00000000">
              <w:rPr>
                <w:rFonts w:ascii="Helvetica Neue" w:cs="Helvetica Neue" w:eastAsia="Helvetica Neue" w:hAnsi="Helvetica Neue"/>
                <w:rtl w:val="0"/>
              </w:rPr>
              <w:t xml:space="preserve">#1</w:t>
            </w:r>
            <w:r w:rsidDel="00000000" w:rsidR="00000000" w:rsidRPr="00000000">
              <w:rPr>
                <w:rFonts w:ascii="Helvetica Neue" w:cs="Helvetica Neue" w:eastAsia="Helvetica Neue" w:hAnsi="Helvetica Neue"/>
                <w:rtl w:val="0"/>
              </w:rPr>
              <w:t xml:space="preserve">-Agency Commitment &amp; Capacity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sdt>
              <w:sdtPr>
                <w:alias w:val="Evaluation Ratings"/>
                <w:id w:val="1914674740"/>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Board-approved mission statement; authorizing vision section of strategic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visible is our mission? Do staff/board use it in decision-making?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Has a strategic vision and plan with goals, priorities, and timelines.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3.02(A)(7)</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#1-Agency Commitment &amp; Capacity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11466811"/>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Strategic plan with timelines, annual updates.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measure progress toward strategic authorizing goals annually?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Provides an annual</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 public report </w:t>
            </w:r>
            <w:r w:rsidDel="00000000" w:rsidR="00000000" w:rsidRPr="00000000">
              <w:rPr>
                <w:rFonts w:ascii="Helvetica Neue" w:cs="Helvetica Neue" w:eastAsia="Helvetica Neue" w:hAnsi="Helvetica Neue"/>
                <w:rtl w:val="0"/>
              </w:rPr>
              <w:t xml:space="preserve">on the authorizer's</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 progress and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3.02(A)(9)</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rPr>
                <w:rFonts w:ascii="Helvetica Neue" w:cs="Helvetica Neue" w:eastAsia="Helvetica Neue" w:hAnsi="Helvetica Neue"/>
                <w:b w:val="1"/>
                <w:i w:val="0"/>
                <w:smallCaps w:val="0"/>
                <w:strike w:val="0"/>
                <w:u w:val="none"/>
                <w:shd w:fill="auto" w:val="clear"/>
                <w:vertAlign w:val="baseline"/>
              </w:rPr>
            </w:pPr>
            <w:sdt>
              <w:sdtPr>
                <w:alias w:val="Evaluation Ratings"/>
                <w:id w:val="1806045084"/>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Annual published authorizer performance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transparent are we about our own effectiveness as an authorizer?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Protects functions from conflicts of interest and political influence.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3.02(A)(3)</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#1-Agency Commitment &amp; Capacity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478695623"/>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Conflict of interest policies, recusal documentation.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Where are our greatest risks of conflict? How do we safeguard independence?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Dedicates sufficient human resources with expertise in law, finance, curriculum, special education, and governance.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3.02(B)(1)–(2)</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#1-Agency Commitment &amp; Capacity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176804554"/>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Staff resumes, contracts with finance/legal/special education experts.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have the right expertise internally or through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Provides regular professional development for authorizing staff.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3.02(B)(3)</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188399401"/>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PD agendas, NACSA conference participation, and evaluator training.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do we keep staff current with evolving practices?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Reviews conflict of interest, compensation compliance, and oversight processe</w:t>
            </w:r>
            <w:r w:rsidDel="00000000" w:rsidR="00000000" w:rsidRPr="00000000">
              <w:rPr>
                <w:rFonts w:ascii="Helvetica Neue" w:cs="Helvetica Neue" w:eastAsia="Helvetica Neue" w:hAnsi="Helvetica Neue"/>
                <w:rtl w:val="0"/>
              </w:rPr>
              <w:t xml:space="preserve">s</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3.02(B)(4)</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2043837583"/>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Oversight reports, monitoring checklists.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do we monitor compliance in our portfolio?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Secures and deploys sufficient financial resources.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3.02(C)(1)–(3)</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#1-Agency Commitment &amp; Capacity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230102054"/>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Budget documents, indirect cost allocation.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Does our budget align with portfolio size and workload?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Requires each school to conduct annual independent financial audits.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3.02(C)(4)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640298506"/>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School audits, corrective action follow-up reports.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do we ensure audit findings inform oversight?</w:t>
            </w:r>
          </w:p>
        </w:tc>
      </w:tr>
    </w:tbl>
    <w:p w:rsidR="00000000" w:rsidDel="00000000" w:rsidP="00000000" w:rsidRDefault="00000000" w:rsidRPr="00000000" w14:paraId="00000069">
      <w:pPr>
        <w:spacing w:after="0" w:before="0" w:lineRule="auto"/>
        <w:rPr>
          <w:rFonts w:ascii="Helvetica Neue" w:cs="Helvetica Neue" w:eastAsia="Helvetica Neue" w:hAnsi="Helvetica Neue"/>
        </w:rPr>
        <w:sectPr>
          <w:headerReference r:id="rId9" w:type="default"/>
          <w:footerReference r:id="rId10" w:type="default"/>
          <w:pgSz w:h="12240" w:w="15840" w:orient="landscape"/>
          <w:pgMar w:bottom="1440" w:top="720" w:left="1440" w:right="1440" w:header="360" w:footer="360"/>
          <w:pgNumType w:start="1"/>
        </w:sectPr>
      </w:pPr>
      <w:r w:rsidDel="00000000" w:rsidR="00000000" w:rsidRPr="00000000">
        <w:rPr>
          <w:rtl w:val="0"/>
        </w:rPr>
      </w:r>
    </w:p>
    <w:p w:rsidR="00000000" w:rsidDel="00000000" w:rsidP="00000000" w:rsidRDefault="00000000" w:rsidRPr="00000000" w14:paraId="0000006A">
      <w:pPr>
        <w:spacing w:after="0" w:before="0" w:lineRule="auto"/>
        <w:rPr>
          <w:rFonts w:ascii="Helvetica Neue" w:cs="Helvetica Neue" w:eastAsia="Helvetica Neue" w:hAnsi="Helvetica Neue"/>
        </w:rPr>
      </w:pPr>
      <w:r w:rsidDel="00000000" w:rsidR="00000000" w:rsidRPr="00000000">
        <w:rPr>
          <w:rtl w:val="0"/>
        </w:rPr>
      </w:r>
    </w:p>
    <w:sdt>
      <w:sdtPr>
        <w:id w:val="-1569876888"/>
        <w:tag w:val="goog_rdk_3"/>
      </w:sdtPr>
      <w:sdtContent>
        <w:p w:rsidR="00000000" w:rsidDel="00000000" w:rsidP="00000000" w:rsidRDefault="00000000" w:rsidRPr="00000000" w14:paraId="0000006B">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Fonts w:ascii="Helvetica Neue" w:cs="Helvetica Neue" w:eastAsia="Helvetica Neue" w:hAnsi="Helvetica Neue"/>
              <w:b w:val="1"/>
              <w:color w:val="000000"/>
              <w:sz w:val="30"/>
              <w:szCs w:val="30"/>
              <w:rtl w:val="0"/>
            </w:rPr>
            <w:t xml:space="preserve">Domain B: Application Process &amp; Decision-Making (CO 3.03)</w:t>
          </w:r>
        </w:p>
      </w:sdtContent>
    </w:sdt>
    <w:tbl>
      <w:tblPr>
        <w:tblStyle w:val="Table2"/>
        <w:tblW w:w="13200.0" w:type="dxa"/>
        <w:jc w:val="left"/>
        <w:tblInd w:w="-108.0" w:type="dxa"/>
        <w:tblLayout w:type="fixed"/>
        <w:tblLook w:val="0020"/>
      </w:tblPr>
      <w:tblGrid>
        <w:gridCol w:w="2640"/>
        <w:gridCol w:w="2760"/>
        <w:gridCol w:w="2520"/>
        <w:gridCol w:w="2640"/>
        <w:gridCol w:w="2640"/>
        <w:tblGridChange w:id="0">
          <w:tblGrid>
            <w:gridCol w:w="2640"/>
            <w:gridCol w:w="2760"/>
            <w:gridCol w:w="2520"/>
            <w:gridCol w:w="2640"/>
            <w:gridCol w:w="264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Indicator</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D">
            <w:pPr>
              <w:spacing w:after="0" w:lineRule="auto"/>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rtl w:val="0"/>
              </w:rPr>
              <w:t xml:space="preserve">Colorado Standard Reference / NACSA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Rating</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Evidence </w:t>
            </w:r>
            <w:r w:rsidDel="00000000" w:rsidR="00000000" w:rsidRPr="00000000">
              <w:rPr>
                <w:rFonts w:ascii="Helvetica Neue" w:cs="Helvetica Neue" w:eastAsia="Helvetica Neue" w:hAnsi="Helvetica Neue"/>
                <w:b w:val="1"/>
                <w:rtl w:val="0"/>
              </w:rPr>
              <w:t xml:space="preserve">Examples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Reflective Prompts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Issues comprehensive RFP stating priorities, guidance, evaluation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3.03(A)(1)</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#2-Application Process &amp; Decision Making</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510197513"/>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Public-facing applications, processes, timelines, and rubrics - charter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application materials clear and transparent for all applicants?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Welcomes first-time applicants and replicators with distinct criteria.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3.03(A)(2),(C)(2)</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324169936"/>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Public-facing applications, processes, timelines, and rubrics - charter website.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do we distinguish criteria for new vs. replication proposals?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Has a process to evaluate the</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 expansion and replication of successful schools.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3.03(A)(3)</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570456467"/>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Replication processes, a clear outline of what is expansion, replication, relocation, or significant modification.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incentivize proven quality?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Open to diverse educational philosophies and 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3.03(A)(4)</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90403349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Community input, review teams.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we equitable in reviewing alternative models?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The application p</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rocess is open, well-publicized, transparent, and has realistic timelines.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3.03(B)(1)</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#2-Application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Process &amp; Decision Making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86332289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Public-facing applications, processes, timelines, and rubrics - charter website.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applicants and community members know our process?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Provides sufficient time for each stage of the process.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3.03(B)(2)</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735846016"/>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Public-facing applications, processes, timelines, and rubrics - charter website.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timelines realistic for applicants and evaluators?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Rigorous evaluation includes review, interviews, and due diligence.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3.03(D)(2)</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88950541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Capacity interviews, multiple rounds of review, and various reviewer perspectives.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use trained evaluators with expertise in law, finance, and academics?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Provides training for application evaluators.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3.03(D)(4)</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204149620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Training session materials.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do we ensure evaluator consistency and fairness?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Ensures decision-making free of conflicts of interest.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3.03(D)(5)</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#2-Application Process &amp;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335379165"/>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Training session materials covering conflict of interest.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What safeguards ensure impartiality?</w:t>
            </w:r>
          </w:p>
        </w:tc>
      </w:tr>
    </w:tbl>
    <w:p w:rsidR="00000000" w:rsidDel="00000000" w:rsidP="00000000" w:rsidRDefault="00000000" w:rsidRPr="00000000" w14:paraId="000000AA">
      <w:pPr>
        <w:spacing w:after="0" w:before="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B">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0AC">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0AF">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sdt>
      <w:sdtPr>
        <w:id w:val="1102939328"/>
        <w:tag w:val="goog_rdk_4"/>
      </w:sdtPr>
      <w:sdtContent>
        <w:p w:rsidR="00000000" w:rsidDel="00000000" w:rsidP="00000000" w:rsidRDefault="00000000" w:rsidRPr="00000000" w14:paraId="000000B0">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Fonts w:ascii="Helvetica Neue" w:cs="Helvetica Neue" w:eastAsia="Helvetica Neue" w:hAnsi="Helvetica Neue"/>
              <w:b w:val="1"/>
              <w:color w:val="000000"/>
              <w:sz w:val="30"/>
              <w:szCs w:val="30"/>
              <w:rtl w:val="0"/>
            </w:rPr>
            <w:t xml:space="preserve">Domain C: Performance Contracting (CO 3.04)</w:t>
          </w:r>
        </w:p>
      </w:sdtContent>
    </w:sdt>
    <w:tbl>
      <w:tblPr>
        <w:tblStyle w:val="Table3"/>
        <w:tblW w:w="13155.0" w:type="dxa"/>
        <w:jc w:val="left"/>
        <w:tblInd w:w="-108.0" w:type="dxa"/>
        <w:tblLayout w:type="fixed"/>
        <w:tblLook w:val="0020"/>
      </w:tblPr>
      <w:tblGrid>
        <w:gridCol w:w="2640"/>
        <w:gridCol w:w="3105"/>
        <w:gridCol w:w="2160"/>
        <w:gridCol w:w="2625"/>
        <w:gridCol w:w="2625"/>
        <w:tblGridChange w:id="0">
          <w:tblGrid>
            <w:gridCol w:w="2640"/>
            <w:gridCol w:w="3105"/>
            <w:gridCol w:w="2160"/>
            <w:gridCol w:w="2625"/>
            <w:gridCol w:w="2625"/>
          </w:tblGrid>
        </w:tblGridChange>
      </w:tblGrid>
      <w:tr>
        <w:trPr>
          <w:cantSplit w:val="0"/>
          <w:trHeight w:val="675" w:hRule="atLeast"/>
          <w:tblHeader w:val="1"/>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Indicator</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2">
            <w:pPr>
              <w:spacing w:after="0" w:lineRule="auto"/>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rtl w:val="0"/>
              </w:rPr>
              <w:t xml:space="preserve">Colorado Standard Reference / NACSA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Rating</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Evidence </w:t>
            </w:r>
            <w:r w:rsidDel="00000000" w:rsidR="00000000" w:rsidRPr="00000000">
              <w:rPr>
                <w:rFonts w:ascii="Helvetica Neue" w:cs="Helvetica Neue" w:eastAsia="Helvetica Neue" w:hAnsi="Helvetica Neue"/>
                <w:b w:val="1"/>
                <w:rtl w:val="0"/>
              </w:rPr>
              <w:t xml:space="preserve">Examples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Reflective Prompts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Executes contracts with independent governing boards.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3.04(A)(1)</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873134559"/>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Contracts should be posted after board approval.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our contracts legally binding and separate from the application?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Contracts define rights, autonomies, and responsibilities.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3.04(B)(1)</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051253280"/>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Reflection on statutory language. Differentiate between district/state requirements.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contracts clearly articulate autonomy in staffing, budgeting, </w:t>
            </w:r>
            <w:r w:rsidDel="00000000" w:rsidR="00000000" w:rsidRPr="00000000">
              <w:rPr>
                <w:rFonts w:ascii="Helvetica Neue" w:cs="Helvetica Neue" w:eastAsia="Helvetica Neue" w:hAnsi="Helvetica Neue"/>
                <w:rtl w:val="0"/>
              </w:rPr>
              <w:t xml:space="preserve">and </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curriculum?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Contracts define measurable academic, financial, operational, a</w:t>
            </w:r>
            <w:r w:rsidDel="00000000" w:rsidR="00000000" w:rsidRPr="00000000">
              <w:rPr>
                <w:rFonts w:ascii="Helvetica Neue" w:cs="Helvetica Neue" w:eastAsia="Helvetica Neue" w:hAnsi="Helvetica Neue"/>
                <w:rtl w:val="0"/>
              </w:rPr>
              <w:t xml:space="preserve">nd</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 performance standards.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3.04(C)(1)–(2)</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270523441"/>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Alignment to statute, Ed program,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renewal standards clearly linked to contract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Contracts define evidence sources for evaluation (assessments, audits, reviews).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3.04(C)(3)</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775186565"/>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Consistent contracting language across schools.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evidence sources comprehensive and reliable?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Contracts state obligations regarding equitable access and services.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3.04(B)(1)(f)</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353263352"/>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No co-mingling of language, appropriate departments looking at different aspects.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contracts ensure compliance with IDEA, Section 504, and ELL requirements?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Service agreements are separate and not conditions of approval/renewal.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3.04(B)(2)</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844090347"/>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Reference to the third-party agreement in the contract.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separate accountability from optional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Contracts with third-party providers include independent oversight provisions.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3.04(D)(1)–(3)</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#3-Performance Contracting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73829402"/>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Is there a management contract?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review and enforce management agreements effectively?</w:t>
            </w:r>
          </w:p>
        </w:tc>
      </w:tr>
    </w:tbl>
    <w:p w:rsidR="00000000" w:rsidDel="00000000" w:rsidP="00000000" w:rsidRDefault="00000000" w:rsidRPr="00000000" w14:paraId="000000E0">
      <w:pPr>
        <w:spacing w:after="0" w:before="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1">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sdt>
      <w:sdtPr>
        <w:id w:val="-2116829764"/>
        <w:tag w:val="goog_rdk_5"/>
      </w:sdtPr>
      <w:sdtContent>
        <w:p w:rsidR="00000000" w:rsidDel="00000000" w:rsidP="00000000" w:rsidRDefault="00000000" w:rsidRPr="00000000" w14:paraId="000000EC">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Fonts w:ascii="Helvetica Neue" w:cs="Helvetica Neue" w:eastAsia="Helvetica Neue" w:hAnsi="Helvetica Neue"/>
              <w:b w:val="1"/>
              <w:color w:val="000000"/>
              <w:sz w:val="30"/>
              <w:szCs w:val="30"/>
              <w:rtl w:val="0"/>
            </w:rPr>
            <w:t xml:space="preserve">Domain D: Ongoing Oversight &amp; Evaluation (CO 3.05)</w:t>
          </w:r>
        </w:p>
      </w:sdtContent>
    </w:sdt>
    <w:tbl>
      <w:tblPr>
        <w:tblStyle w:val="Table4"/>
        <w:tblW w:w="13155.0" w:type="dxa"/>
        <w:jc w:val="left"/>
        <w:tblInd w:w="-108.0" w:type="dxa"/>
        <w:tblLayout w:type="fixed"/>
        <w:tblLook w:val="0020"/>
      </w:tblPr>
      <w:tblGrid>
        <w:gridCol w:w="2640"/>
        <w:gridCol w:w="2775"/>
        <w:gridCol w:w="2490"/>
        <w:gridCol w:w="2625"/>
        <w:gridCol w:w="2625"/>
        <w:tblGridChange w:id="0">
          <w:tblGrid>
            <w:gridCol w:w="2640"/>
            <w:gridCol w:w="2775"/>
            <w:gridCol w:w="2490"/>
            <w:gridCol w:w="2625"/>
            <w:gridCol w:w="262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Indicator</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EE">
            <w:pPr>
              <w:spacing w:after="0" w:lineRule="auto"/>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rtl w:val="0"/>
              </w:rPr>
              <w:t xml:space="preserve">Colorado Standard Reference / NACSA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Rating</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Evidence </w:t>
            </w:r>
            <w:r w:rsidDel="00000000" w:rsidR="00000000" w:rsidRPr="00000000">
              <w:rPr>
                <w:rFonts w:ascii="Helvetica Neue" w:cs="Helvetica Neue" w:eastAsia="Helvetica Neue" w:hAnsi="Helvetica Neue"/>
                <w:b w:val="1"/>
                <w:rtl w:val="0"/>
              </w:rPr>
              <w:t xml:space="preserve">Examples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Reflective Prompts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Implements comprehensive accountability and compliance monitoring.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3.05(A)(1)</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2077014685"/>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Reportwell (reporting platform), shared timeline, checklists, etc.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streamlined is our monitoring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Defines and communicates methods/timing of reporting.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3.05(A)(2)</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262397085"/>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Reportwell (reporting platform), shared timeline, checklists, contracts, etc.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schools understand our reporting expectations?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Streamlines federal, state, and local compliance requirements to minimize burden.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3.05(A)(3)</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040315620"/>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duplicate submissions, streamlined distribution.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we balancing compliance with autonomy?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Conducts school visits only as necessary, respecting autonomy.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3.05(A)(4)</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55278838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Collaboration - purpose of visit, transparency.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Are our visits purposeful and non-intrusive?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Provides annual written performance and compliance reports.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3.05(A)(7)</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594980523"/>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Finalized reports.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our annual reports provide actionable feedback?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Produces an annual public report on portfolio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35867651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before="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Public reports and/or board presentations.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do we share results with stakeholders?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Oversight protects student rights in admissions, discipline, and access to services.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3.05(C)(1)–(4)</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949537666"/>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Required training, policy reviews, data checks, and reporting.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our practices safeguard equity and access?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Clear, timely intervention policy exists and is implemented.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3.05(D)(1)–(4)</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#4-Ongoing Oversight &amp;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936088402"/>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Policy, contract, handbook guidelines.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schools view our interventions as fair, transparent, and effective?</w:t>
            </w:r>
          </w:p>
        </w:tc>
      </w:tr>
    </w:tbl>
    <w:p w:rsidR="00000000" w:rsidDel="00000000" w:rsidP="00000000" w:rsidRDefault="00000000" w:rsidRPr="00000000" w14:paraId="00000122">
      <w:pPr>
        <w:spacing w:after="0" w:before="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23">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124">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tl w:val="0"/>
        </w:rPr>
      </w:r>
    </w:p>
    <w:sdt>
      <w:sdtPr>
        <w:id w:val="-834810440"/>
        <w:tag w:val="goog_rdk_6"/>
      </w:sdtPr>
      <w:sdtContent>
        <w:p w:rsidR="00000000" w:rsidDel="00000000" w:rsidP="00000000" w:rsidRDefault="00000000" w:rsidRPr="00000000" w14:paraId="0000012F">
          <w:pPr>
            <w:pStyle w:val="Heading1"/>
            <w:spacing w:after="0" w:before="0" w:lineRule="auto"/>
            <w:rPr>
              <w:rFonts w:ascii="Helvetica Neue" w:cs="Helvetica Neue" w:eastAsia="Helvetica Neue" w:hAnsi="Helvetica Neue"/>
              <w:b w:val="1"/>
              <w:color w:val="000000"/>
              <w:sz w:val="30"/>
              <w:szCs w:val="30"/>
            </w:rPr>
          </w:pPr>
          <w:r w:rsidDel="00000000" w:rsidR="00000000" w:rsidRPr="00000000">
            <w:rPr>
              <w:rFonts w:ascii="Helvetica Neue" w:cs="Helvetica Neue" w:eastAsia="Helvetica Neue" w:hAnsi="Helvetica Neue"/>
              <w:b w:val="1"/>
              <w:color w:val="000000"/>
              <w:sz w:val="30"/>
              <w:szCs w:val="30"/>
              <w:rtl w:val="0"/>
            </w:rPr>
            <w:t xml:space="preserve">Domain E: Revocation &amp; Renewal Decision-Making (CO 3.06)</w:t>
          </w:r>
        </w:p>
      </w:sdtContent>
    </w:sdt>
    <w:tbl>
      <w:tblPr>
        <w:tblStyle w:val="Table5"/>
        <w:tblW w:w="13320.0" w:type="dxa"/>
        <w:jc w:val="left"/>
        <w:tblInd w:w="-108.0" w:type="dxa"/>
        <w:tblLayout w:type="fixed"/>
        <w:tblLook w:val="0020"/>
      </w:tblPr>
      <w:tblGrid>
        <w:gridCol w:w="2670"/>
        <w:gridCol w:w="2670"/>
        <w:gridCol w:w="2670"/>
        <w:gridCol w:w="2655"/>
        <w:gridCol w:w="2655"/>
        <w:tblGridChange w:id="0">
          <w:tblGrid>
            <w:gridCol w:w="2670"/>
            <w:gridCol w:w="2670"/>
            <w:gridCol w:w="2670"/>
            <w:gridCol w:w="2655"/>
            <w:gridCol w:w="2655"/>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Indicator</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31">
            <w:pPr>
              <w:spacing w:after="0" w:lineRule="auto"/>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rtl w:val="0"/>
              </w:rPr>
              <w:t xml:space="preserve">Colorado Standard Reference / NACSA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Rating</w:t>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Evidence </w:t>
            </w:r>
            <w:r w:rsidDel="00000000" w:rsidR="00000000" w:rsidRPr="00000000">
              <w:rPr>
                <w:rFonts w:ascii="Helvetica Neue" w:cs="Helvetica Neue" w:eastAsia="Helvetica Neue" w:hAnsi="Helvetica Neue"/>
                <w:b w:val="1"/>
                <w:rtl w:val="0"/>
              </w:rPr>
              <w:t xml:space="preserve">Examples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u w:val="none"/>
                <w:shd w:fill="auto" w:val="clear"/>
                <w:vertAlign w:val="baseline"/>
              </w:rPr>
            </w:pPr>
            <w:r w:rsidDel="00000000" w:rsidR="00000000" w:rsidRPr="00000000">
              <w:rPr>
                <w:rFonts w:ascii="Helvetica Neue" w:cs="Helvetica Neue" w:eastAsia="Helvetica Neue" w:hAnsi="Helvetica Neue"/>
                <w:b w:val="1"/>
                <w:i w:val="0"/>
                <w:smallCaps w:val="0"/>
                <w:strike w:val="0"/>
                <w:u w:val="none"/>
                <w:shd w:fill="auto" w:val="clear"/>
                <w:vertAlign w:val="baseline"/>
                <w:rtl w:val="0"/>
              </w:rPr>
              <w:t xml:space="preserve">Reflective Prompts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Renewal decisions based on comprehensive academic, financial, and operational evidence.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3.06(B)(1)</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2087653341"/>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SPF, renewal application, school budgets and audits, notices or breaches, site visit trends, monitoring body of evidence, organizational compliance, strategic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w:t>
            </w:r>
            <w:r w:rsidDel="00000000" w:rsidR="00000000" w:rsidRPr="00000000">
              <w:rPr>
                <w:rFonts w:ascii="Helvetica Neue" w:cs="Helvetica Neue" w:eastAsia="Helvetica Neue" w:hAnsi="Helvetica Neue"/>
                <w:rtl w:val="0"/>
              </w:rPr>
              <w:t xml:space="preserve">weigh</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 academic achievement most heavily, as required?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Grants renewal only to schools that are viable and faithful to contract/law.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3.06(B)(2)</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473413477"/>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OCR complaints, notices or breaches, financial audits, DOJ, compliance records, action plan progress, federal vs. state accountability clock.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ever renew based on pressure vs. evidence?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Provides cumulative performance reports prior to renewal.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3.06(C)(1)</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835613150"/>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Site visit report, SPF distribution, office hour minutes and attendance, UIP goal progress, strategic plan, presentation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How thorough and timely are our reports?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Renewal applications allow schools to respond and provide evidence.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3.06(C)(2)</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777166701"/>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Application with a rubric, guiding questions, list of required items, public record minutes, interview, board agendas, school presentations to board, written responses.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schools have </w:t>
            </w:r>
            <w:r w:rsidDel="00000000" w:rsidR="00000000" w:rsidRPr="00000000">
              <w:rPr>
                <w:rFonts w:ascii="Helvetica Neue" w:cs="Helvetica Neue" w:eastAsia="Helvetica Neue" w:hAnsi="Helvetica Neue"/>
                <w:rtl w:val="0"/>
              </w:rPr>
              <w:t xml:space="preserve">a </w:t>
            </w: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meaningful opportunity to present their case?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Clearly communicates criteria for renewal/revocation and updates processes.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3.06(D)(1),(5)</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227280296"/>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Board policy regarding charter schools, policy posted, written processes, rubrics, application with guiding questions, rubrics, timelines, charter contracts, board minutes, standard questions required, reviewer norms.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Is our process public and consistently applied?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Provides timely public notification of decisions.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3.06(D)(3)</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473060338"/>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Closure process with timelines, statute timelines, written procedures, public announcements, posted board minutes, enrollment/school choice policies.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families have enough time to make choices?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Explains rights of appeal in writing.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3.06(D)(4)</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114712766"/>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Contracts, board policy, assurances, board minutes.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schools understand their appeal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Closure protocols ensure student transitions and lawful disposition of assets.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3.06(E)</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NACSA Standard #5-Revocation &amp; Renewal Decision Making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Rule="auto"/>
              <w:rPr>
                <w:rFonts w:ascii="Helvetica Neue" w:cs="Helvetica Neue" w:eastAsia="Helvetica Neue" w:hAnsi="Helvetica Neue"/>
                <w:i w:val="0"/>
                <w:smallCaps w:val="0"/>
                <w:strike w:val="0"/>
                <w:u w:val="none"/>
                <w:shd w:fill="auto" w:val="clear"/>
                <w:vertAlign w:val="baseline"/>
              </w:rPr>
            </w:pPr>
            <w:sdt>
              <w:sdtPr>
                <w:alias w:val="Evaluation Ratings"/>
                <w:id w:val="-659888671"/>
                <w:dropDownList w:lastValue="Please select">
                  <w:listItem w:displayText="Please select" w:value="Please select"/>
                  <w:listItem w:displayText="Established (1 point)" w:value="Established (1 point)"/>
                  <w:listItem w:displayText="Partially Established (0.5 points)n 2" w:value="Partially Established (0.5 points)n 2"/>
                  <w:listItem w:displayText="Not Established (0 points)" w:value="Not Established (0 points)"/>
                </w:dropDownList>
              </w:sdtPr>
              <w:sdtContent>
                <w:r w:rsidDel="00000000" w:rsidR="00000000" w:rsidRPr="00000000">
                  <w:rPr>
                    <w:rFonts w:ascii="Helvetica Neue" w:cs="Helvetica Neue" w:eastAsia="Helvetica Neue" w:hAnsi="Helvetica Neue"/>
                    <w:color w:val="000000"/>
                    <w:shd w:fill="e8eaed" w:val="clear"/>
                  </w:rPr>
                  <w:t xml:space="preserve">Please select</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rtl w:val="0"/>
              </w:rPr>
              <w:t xml:space="preserve">Closure process documents.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i w:val="0"/>
                <w:smallCaps w:val="0"/>
                <w:strike w:val="0"/>
                <w:u w:val="none"/>
                <w:shd w:fill="auto" w:val="clear"/>
                <w:vertAlign w:val="baseline"/>
              </w:rPr>
            </w:pPr>
            <w:r w:rsidDel="00000000" w:rsidR="00000000" w:rsidRPr="00000000">
              <w:rPr>
                <w:rFonts w:ascii="Helvetica Neue" w:cs="Helvetica Neue" w:eastAsia="Helvetica Neue" w:hAnsi="Helvetica Neue"/>
                <w:i w:val="0"/>
                <w:smallCaps w:val="0"/>
                <w:strike w:val="0"/>
                <w:u w:val="none"/>
                <w:shd w:fill="auto" w:val="clear"/>
                <w:vertAlign w:val="baseline"/>
                <w:rtl w:val="0"/>
              </w:rPr>
              <w:t xml:space="preserve">Do we have a tested plan for orderly school closures?</w:t>
            </w:r>
          </w:p>
        </w:tc>
      </w:tr>
    </w:tbl>
    <w:p w:rsidR="00000000" w:rsidDel="00000000" w:rsidP="00000000" w:rsidRDefault="00000000" w:rsidRPr="00000000" w14:paraId="00000165">
      <w:pPr>
        <w:spacing w:after="0" w:lineRule="auto"/>
        <w:ind w:left="0" w:firstLine="0"/>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166">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onsg78y16dyz" w:id="1"/>
      <w:bookmarkEnd w:id="1"/>
      <w:r w:rsidDel="00000000" w:rsidR="00000000" w:rsidRPr="00000000">
        <w:rPr>
          <w:rtl w:val="0"/>
        </w:rPr>
      </w:r>
    </w:p>
    <w:p w:rsidR="00000000" w:rsidDel="00000000" w:rsidP="00000000" w:rsidRDefault="00000000" w:rsidRPr="00000000" w14:paraId="00000167">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rerssph1lppz" w:id="2"/>
      <w:bookmarkEnd w:id="2"/>
      <w:r w:rsidDel="00000000" w:rsidR="00000000" w:rsidRPr="00000000">
        <w:rPr>
          <w:rtl w:val="0"/>
        </w:rPr>
      </w:r>
    </w:p>
    <w:p w:rsidR="00000000" w:rsidDel="00000000" w:rsidP="00000000" w:rsidRDefault="00000000" w:rsidRPr="00000000" w14:paraId="00000168">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g6y1ribv1o15" w:id="3"/>
      <w:bookmarkEnd w:id="3"/>
      <w:r w:rsidDel="00000000" w:rsidR="00000000" w:rsidRPr="00000000">
        <w:rPr>
          <w:rtl w:val="0"/>
        </w:rPr>
      </w:r>
    </w:p>
    <w:p w:rsidR="00000000" w:rsidDel="00000000" w:rsidP="00000000" w:rsidRDefault="00000000" w:rsidRPr="00000000" w14:paraId="00000169">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ce0z2o4zsbq3" w:id="4"/>
      <w:bookmarkEnd w:id="4"/>
      <w:r w:rsidDel="00000000" w:rsidR="00000000" w:rsidRPr="00000000">
        <w:rPr>
          <w:rtl w:val="0"/>
        </w:rPr>
      </w:r>
    </w:p>
    <w:p w:rsidR="00000000" w:rsidDel="00000000" w:rsidP="00000000" w:rsidRDefault="00000000" w:rsidRPr="00000000" w14:paraId="0000016A">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tn1tgw2epf4e" w:id="5"/>
      <w:bookmarkEnd w:id="5"/>
      <w:r w:rsidDel="00000000" w:rsidR="00000000" w:rsidRPr="00000000">
        <w:rPr>
          <w:rtl w:val="0"/>
        </w:rPr>
      </w:r>
    </w:p>
    <w:p w:rsidR="00000000" w:rsidDel="00000000" w:rsidP="00000000" w:rsidRDefault="00000000" w:rsidRPr="00000000" w14:paraId="0000016B">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u68vm9i9f40t" w:id="6"/>
      <w:bookmarkEnd w:id="6"/>
      <w:r w:rsidDel="00000000" w:rsidR="00000000" w:rsidRPr="00000000">
        <w:rPr>
          <w:rtl w:val="0"/>
        </w:rPr>
      </w:r>
    </w:p>
    <w:p w:rsidR="00000000" w:rsidDel="00000000" w:rsidP="00000000" w:rsidRDefault="00000000" w:rsidRPr="00000000" w14:paraId="0000016C">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ndk7y996r0ye" w:id="7"/>
      <w:bookmarkEnd w:id="7"/>
      <w:r w:rsidDel="00000000" w:rsidR="00000000" w:rsidRPr="00000000">
        <w:rPr>
          <w:rtl w:val="0"/>
        </w:rPr>
      </w:r>
    </w:p>
    <w:p w:rsidR="00000000" w:rsidDel="00000000" w:rsidP="00000000" w:rsidRDefault="00000000" w:rsidRPr="00000000" w14:paraId="0000016D">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etq4uttwkcun" w:id="8"/>
      <w:bookmarkEnd w:id="8"/>
      <w:r w:rsidDel="00000000" w:rsidR="00000000" w:rsidRPr="00000000">
        <w:rPr>
          <w:rtl w:val="0"/>
        </w:rPr>
      </w:r>
    </w:p>
    <w:p w:rsidR="00000000" w:rsidDel="00000000" w:rsidP="00000000" w:rsidRDefault="00000000" w:rsidRPr="00000000" w14:paraId="0000016E">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sokgigrz2442" w:id="9"/>
      <w:bookmarkEnd w:id="9"/>
      <w:r w:rsidDel="00000000" w:rsidR="00000000" w:rsidRPr="00000000">
        <w:rPr>
          <w:rtl w:val="0"/>
        </w:rPr>
      </w:r>
    </w:p>
    <w:sdt>
      <w:sdtPr>
        <w:id w:val="1021719308"/>
        <w:tag w:val="goog_rdk_7"/>
      </w:sdtPr>
      <w:sdtContent>
        <w:p w:rsidR="00000000" w:rsidDel="00000000" w:rsidP="00000000" w:rsidRDefault="00000000" w:rsidRPr="00000000" w14:paraId="0000016F">
          <w:pPr>
            <w:pStyle w:val="Heading2"/>
            <w:keepNext w:val="0"/>
            <w:keepLines w:val="0"/>
            <w:spacing w:before="360" w:lineRule="auto"/>
            <w:rPr/>
          </w:pPr>
          <w:bookmarkStart w:colFirst="0" w:colLast="0" w:name="_heading=h.o93kfbzds5fc" w:id="10"/>
          <w:bookmarkEnd w:id="10"/>
          <w:r w:rsidDel="00000000" w:rsidR="00000000" w:rsidRPr="00000000">
            <w:rPr>
              <w:rFonts w:ascii="Helvetica Neue" w:cs="Helvetica Neue" w:eastAsia="Helvetica Neue" w:hAnsi="Helvetica Neue"/>
              <w:b w:val="1"/>
              <w:color w:val="000000"/>
              <w:sz w:val="30"/>
              <w:szCs w:val="30"/>
              <w:rtl w:val="0"/>
            </w:rPr>
            <w:t xml:space="preserve">Summary Dashboard</w:t>
          </w:r>
          <w:r w:rsidDel="00000000" w:rsidR="00000000" w:rsidRPr="00000000">
            <w:rPr>
              <w:rtl w:val="0"/>
            </w:rPr>
          </w:r>
        </w:p>
      </w:sdtContent>
    </w:sdt>
    <w:p w:rsidR="00000000" w:rsidDel="00000000" w:rsidP="00000000" w:rsidRDefault="00000000" w:rsidRPr="00000000" w14:paraId="00000170">
      <w:pPr>
        <w:spacing w:after="0" w:lineRule="auto"/>
        <w:rPr/>
      </w:pPr>
      <w:r w:rsidDel="00000000" w:rsidR="00000000" w:rsidRPr="00000000">
        <w:rPr>
          <w:rtl w:val="0"/>
        </w:rPr>
        <w:t xml:space="preserve">The table below provides a way to summarize scores across each domain. Each indicator is scored using the point system (1, 0.5, 0). The total possible points for each domain are shown in the “Overall Score” column.</w:t>
      </w:r>
    </w:p>
    <w:p w:rsidR="00000000" w:rsidDel="00000000" w:rsidP="00000000" w:rsidRDefault="00000000" w:rsidRPr="00000000" w14:paraId="00000171">
      <w:pPr>
        <w:spacing w:after="0" w:lineRule="auto"/>
        <w:rPr/>
      </w:pPr>
      <w:r w:rsidDel="00000000" w:rsidR="00000000" w:rsidRPr="00000000">
        <w:rPr>
          <w:rtl w:val="0"/>
        </w:rPr>
      </w:r>
    </w:p>
    <w:p w:rsidR="00000000" w:rsidDel="00000000" w:rsidP="00000000" w:rsidRDefault="00000000" w:rsidRPr="00000000" w14:paraId="00000172">
      <w:pPr>
        <w:spacing w:after="0" w:lineRule="auto"/>
        <w:rPr/>
      </w:pPr>
      <w:r w:rsidDel="00000000" w:rsidR="00000000" w:rsidRPr="00000000">
        <w:rPr>
          <w:rtl w:val="0"/>
        </w:rPr>
        <w:t xml:space="preserve">Authorizing teams can use the Summary Dashboard as both a snapshot and a planning tool. After completing the “Overall Score” for each domain, the team records the total score in the dashboard and then discusses the accompanying “Top Strengths” and “Top Areas for Improvement.” This process encourages collaborative reflection, allows different perspectives (e.g., finance, legal, academic, special education) to be heard, and creates a shared record of progress. Over time, teams can compare scores from year to year to see where capacity has grown and where attention is still needed, making the dashboard a practical anchor for continuous improvement conversations.</w:t>
      </w:r>
    </w:p>
    <w:p w:rsidR="00000000" w:rsidDel="00000000" w:rsidP="00000000" w:rsidRDefault="00000000" w:rsidRPr="00000000" w14:paraId="00000173">
      <w:pPr>
        <w:spacing w:after="0" w:lineRule="auto"/>
        <w:rPr/>
      </w:pPr>
      <w:r w:rsidDel="00000000" w:rsidR="00000000" w:rsidRPr="00000000">
        <w:rPr>
          <w:rtl w:val="0"/>
        </w:rPr>
      </w:r>
    </w:p>
    <w:p w:rsidR="00000000" w:rsidDel="00000000" w:rsidP="00000000" w:rsidRDefault="00000000" w:rsidRPr="00000000" w14:paraId="00000174">
      <w:pPr>
        <w:spacing w:after="0" w:lineRule="auto"/>
        <w:rPr/>
      </w:pPr>
      <w:r w:rsidDel="00000000" w:rsidR="00000000" w:rsidRPr="00000000">
        <w:rPr>
          <w:rtl w:val="0"/>
        </w:rPr>
        <w:t xml:space="preserve">This dashboard is not intended to establish a “right” or “wrong” score. Instead, it serves as a tool for teams to reflect on their current practices, identify strengths and areas for improvement, and track progress over time. By revisiting this self-evaluation annually, authorizers can measure growth, celebrate improvements, and prioritize next steps for continued development.</w:t>
      </w:r>
    </w:p>
    <w:p w:rsidR="00000000" w:rsidDel="00000000" w:rsidP="00000000" w:rsidRDefault="00000000" w:rsidRPr="00000000" w14:paraId="00000175">
      <w:pPr>
        <w:spacing w:after="0" w:lineRule="auto"/>
        <w:rPr>
          <w:rFonts w:ascii="Helvetica Neue" w:cs="Helvetica Neue" w:eastAsia="Helvetica Neue" w:hAnsi="Helvetica Neue"/>
        </w:rPr>
      </w:pPr>
      <w:r w:rsidDel="00000000" w:rsidR="00000000" w:rsidRPr="00000000">
        <w:rPr>
          <w:rtl w:val="0"/>
        </w:rPr>
      </w:r>
    </w:p>
    <w:tbl>
      <w:tblPr>
        <w:tblStyle w:val="Table6"/>
        <w:tblW w:w="129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0"/>
        <w:gridCol w:w="1890"/>
        <w:gridCol w:w="3660"/>
        <w:gridCol w:w="3660"/>
        <w:tblGridChange w:id="0">
          <w:tblGrid>
            <w:gridCol w:w="3750"/>
            <w:gridCol w:w="1890"/>
            <w:gridCol w:w="3660"/>
            <w:gridCol w:w="3660"/>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6">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Domain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7">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Overall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8">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Top Strengths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179">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Top Areas for Improvement</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Agency Commitment &amp; Capacity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0" w:lineRule="auto"/>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0" w:lineRule="auto"/>
              <w:rPr>
                <w:rFonts w:ascii="Helvetica Neue" w:cs="Helvetica Neue" w:eastAsia="Helvetica Neue" w:hAnsi="Helvetica Neue"/>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 Application Process &amp; Decision-Making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0" w:lineRule="auto"/>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0" w:lineRule="auto"/>
              <w:rPr>
                <w:rFonts w:ascii="Helvetica Neue" w:cs="Helvetica Neue" w:eastAsia="Helvetica Neue" w:hAnsi="Helvetica Neue"/>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 Performance Contracting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0" w:lineRule="auto"/>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0" w:lineRule="auto"/>
              <w:rPr>
                <w:rFonts w:ascii="Helvetica Neue" w:cs="Helvetica Neue" w:eastAsia="Helvetica Neue" w:hAnsi="Helvetica Neue"/>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 Ongoing Oversight &amp;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0" w:lineRule="auto"/>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0" w:lineRule="auto"/>
              <w:rPr>
                <w:rFonts w:ascii="Helvetica Neue" w:cs="Helvetica Neue" w:eastAsia="Helvetica Neue" w:hAnsi="Helvetica Neue"/>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 Revocation &amp; Renewal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0" w:lineRule="auto"/>
              <w:rPr>
                <w:rFonts w:ascii="Helvetica Neue" w:cs="Helvetica Neue" w:eastAsia="Helvetica Neue" w:hAnsi="Helvetica Neu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0" w:lineRule="auto"/>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18E">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vpfujgte6bs" w:id="11"/>
      <w:bookmarkEnd w:id="11"/>
      <w:r w:rsidDel="00000000" w:rsidR="00000000" w:rsidRPr="00000000">
        <w:rPr>
          <w:rtl w:val="0"/>
        </w:rPr>
      </w:r>
    </w:p>
    <w:sdt>
      <w:sdtPr>
        <w:id w:val="620345416"/>
        <w:tag w:val="goog_rdk_8"/>
      </w:sdtPr>
      <w:sdtContent>
        <w:p w:rsidR="00000000" w:rsidDel="00000000" w:rsidP="00000000" w:rsidRDefault="00000000" w:rsidRPr="00000000" w14:paraId="0000018F">
          <w:pPr>
            <w:pStyle w:val="Heading2"/>
            <w:keepNext w:val="0"/>
            <w:keepLines w:val="0"/>
            <w:spacing w:before="360" w:lineRule="auto"/>
            <w:rPr>
              <w:rFonts w:ascii="Helvetica Neue" w:cs="Helvetica Neue" w:eastAsia="Helvetica Neue" w:hAnsi="Helvetica Neue"/>
              <w:b w:val="1"/>
              <w:color w:val="000000"/>
              <w:sz w:val="30"/>
              <w:szCs w:val="30"/>
            </w:rPr>
          </w:pPr>
          <w:bookmarkStart w:colFirst="0" w:colLast="0" w:name="_heading=h.trcp63loa31h" w:id="12"/>
          <w:bookmarkEnd w:id="12"/>
          <w:r w:rsidDel="00000000" w:rsidR="00000000" w:rsidRPr="00000000">
            <w:rPr>
              <w:rFonts w:ascii="Helvetica Neue" w:cs="Helvetica Neue" w:eastAsia="Helvetica Neue" w:hAnsi="Helvetica Neue"/>
              <w:b w:val="1"/>
              <w:color w:val="000000"/>
              <w:sz w:val="30"/>
              <w:szCs w:val="30"/>
              <w:rtl w:val="0"/>
            </w:rPr>
            <w:t xml:space="preserve">Guidance for Next Steps Based on </w:t>
          </w:r>
          <w:r w:rsidDel="00000000" w:rsidR="00000000" w:rsidRPr="00000000">
            <w:rPr>
              <w:rFonts w:ascii="Helvetica Neue" w:cs="Helvetica Neue" w:eastAsia="Helvetica Neue" w:hAnsi="Helvetica Neue"/>
              <w:b w:val="1"/>
              <w:color w:val="000000"/>
              <w:sz w:val="30"/>
              <w:szCs w:val="30"/>
              <w:rtl w:val="0"/>
            </w:rPr>
            <w:t xml:space="preserve">Your Summary Dashboard</w:t>
          </w:r>
        </w:p>
      </w:sdtContent>
    </w:sdt>
    <w:p w:rsidR="00000000" w:rsidDel="00000000" w:rsidP="00000000" w:rsidRDefault="00000000" w:rsidRPr="00000000" w14:paraId="00000190">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After completing ratings across Domains A–E, use the following guidance to determine next steps. For each domain, authorizers should reflect on </w:t>
      </w:r>
      <w:r w:rsidDel="00000000" w:rsidR="00000000" w:rsidRPr="00000000">
        <w:rPr>
          <w:rFonts w:ascii="Helvetica Neue" w:cs="Helvetica Neue" w:eastAsia="Helvetica Neue" w:hAnsi="Helvetica Neue"/>
          <w:b w:val="1"/>
          <w:rtl w:val="0"/>
        </w:rPr>
        <w:t xml:space="preserve">areas to consider for growth</w:t>
      </w:r>
      <w:r w:rsidDel="00000000" w:rsidR="00000000" w:rsidRPr="00000000">
        <w:rPr>
          <w:rFonts w:ascii="Helvetica Neue" w:cs="Helvetica Neue" w:eastAsia="Helvetica Neue" w:hAnsi="Helvetica Neue"/>
          <w:rtl w:val="0"/>
        </w:rPr>
        <w:t xml:space="preserve">, take </w:t>
      </w:r>
      <w:r w:rsidDel="00000000" w:rsidR="00000000" w:rsidRPr="00000000">
        <w:rPr>
          <w:rFonts w:ascii="Helvetica Neue" w:cs="Helvetica Neue" w:eastAsia="Helvetica Neue" w:hAnsi="Helvetica Neue"/>
          <w:b w:val="1"/>
          <w:rtl w:val="0"/>
        </w:rPr>
        <w:t xml:space="preserve">immediate actions</w:t>
      </w:r>
      <w:r w:rsidDel="00000000" w:rsidR="00000000" w:rsidRPr="00000000">
        <w:rPr>
          <w:rFonts w:ascii="Helvetica Neue" w:cs="Helvetica Neue" w:eastAsia="Helvetica Neue" w:hAnsi="Helvetica Neue"/>
          <w:rtl w:val="0"/>
        </w:rPr>
        <w:t xml:space="preserve"> to strengthen practice, and draw on </w:t>
      </w:r>
      <w:r w:rsidDel="00000000" w:rsidR="00000000" w:rsidRPr="00000000">
        <w:rPr>
          <w:rFonts w:ascii="Helvetica Neue" w:cs="Helvetica Neue" w:eastAsia="Helvetica Neue" w:hAnsi="Helvetica Neue"/>
          <w:b w:val="1"/>
          <w:rtl w:val="0"/>
        </w:rPr>
        <w:t xml:space="preserve">resources available</w:t>
      </w:r>
      <w:r w:rsidDel="00000000" w:rsidR="00000000" w:rsidRPr="00000000">
        <w:rPr>
          <w:rFonts w:ascii="Helvetica Neue" w:cs="Helvetica Neue" w:eastAsia="Helvetica Neue" w:hAnsi="Helvetica Neue"/>
          <w:rtl w:val="0"/>
        </w:rPr>
        <w:t xml:space="preserve"> through CACSA.</w:t>
      </w:r>
      <w:r w:rsidDel="00000000" w:rsidR="00000000" w:rsidRPr="00000000">
        <w:rPr>
          <w:rFonts w:ascii="Helvetica Neue" w:cs="Helvetica Neue" w:eastAsia="Helvetica Neue" w:hAnsi="Helvetica Neue"/>
          <w:vertAlign w:val="superscript"/>
        </w:rPr>
        <w:footnoteReference w:customMarkFollows="0" w:id="2"/>
      </w:r>
      <w:r w:rsidDel="00000000" w:rsidR="00000000" w:rsidRPr="00000000">
        <w:rPr>
          <w:rtl w:val="0"/>
        </w:rPr>
      </w:r>
    </w:p>
    <w:sdt>
      <w:sdtPr>
        <w:id w:val="-1049541977"/>
        <w:tag w:val="goog_rdk_9"/>
      </w:sdtPr>
      <w:sdtContent>
        <w:p w:rsidR="00000000" w:rsidDel="00000000" w:rsidP="00000000" w:rsidRDefault="00000000" w:rsidRPr="00000000" w14:paraId="00000191">
          <w:pPr>
            <w:pStyle w:val="Heading3"/>
            <w:keepNext w:val="0"/>
            <w:keepLines w:val="0"/>
            <w:spacing w:before="280" w:lineRule="auto"/>
            <w:rPr>
              <w:rFonts w:ascii="Helvetica Neue" w:cs="Helvetica Neue" w:eastAsia="Helvetica Neue" w:hAnsi="Helvetica Neue"/>
              <w:b w:val="1"/>
              <w:color w:val="000000"/>
              <w:sz w:val="26"/>
              <w:szCs w:val="26"/>
            </w:rPr>
          </w:pPr>
          <w:bookmarkStart w:colFirst="0" w:colLast="0" w:name="_heading=h.4v40y8g7c0v6" w:id="13"/>
          <w:bookmarkEnd w:id="13"/>
          <w:r w:rsidDel="00000000" w:rsidR="00000000" w:rsidRPr="00000000">
            <w:rPr>
              <w:rFonts w:ascii="Helvetica Neue" w:cs="Helvetica Neue" w:eastAsia="Helvetica Neue" w:hAnsi="Helvetica Neue"/>
              <w:b w:val="1"/>
              <w:color w:val="000000"/>
              <w:sz w:val="26"/>
              <w:szCs w:val="26"/>
              <w:rtl w:val="0"/>
            </w:rPr>
            <w:t xml:space="preserve">Domain A: Agency Commitment &amp; Capacity</w:t>
          </w:r>
        </w:p>
      </w:sdtContent>
    </w:sdt>
    <w:p w:rsidR="00000000" w:rsidDel="00000000" w:rsidP="00000000" w:rsidRDefault="00000000" w:rsidRPr="00000000" w14:paraId="00000192">
      <w:pPr>
        <w:numPr>
          <w:ilvl w:val="0"/>
          <w:numId w:val="1"/>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Areas to Consider for Growth:</w:t>
      </w:r>
      <w:r w:rsidDel="00000000" w:rsidR="00000000" w:rsidRPr="00000000">
        <w:rPr>
          <w:rFonts w:ascii="Helvetica Neue" w:cs="Helvetica Neue" w:eastAsia="Helvetica Neue" w:hAnsi="Helvetica Neue"/>
          <w:i w:val="1"/>
          <w:rtl w:val="0"/>
        </w:rPr>
        <w:t xml:space="preserve"> Mission clarity and visibility; strategic planning with measurable goals; public transparency in reporting; safeguards against conflicts of interest; adequacy of staffing and expertise across key functions; regular PD for authorizing staff; financial resource allocation aligned to portfolio size and needs.</w:t>
      </w:r>
    </w:p>
    <w:p w:rsidR="00000000" w:rsidDel="00000000" w:rsidP="00000000" w:rsidRDefault="00000000" w:rsidRPr="00000000" w14:paraId="00000193">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Immediate Actions:</w:t>
      </w:r>
      <w:r w:rsidDel="00000000" w:rsidR="00000000" w:rsidRPr="00000000">
        <w:rPr>
          <w:rFonts w:ascii="Helvetica Neue" w:cs="Helvetica Neue" w:eastAsia="Helvetica Neue" w:hAnsi="Helvetica Neue"/>
          <w:i w:val="1"/>
          <w:rtl w:val="0"/>
        </w:rPr>
        <w:t xml:space="preserve"> Review and update mission and vision to ensure alignment with quality authorizing principles; revise or refresh the strategic plan to include timelines and measurable targets; publish an annual performance report for the authorizer; conduct a conflict-of-interest review; assess internal capacity and secure needed legal, financial, and SPED expertise; implement a PD calendar for authorizing roles.</w:t>
      </w:r>
    </w:p>
    <w:p w:rsidR="00000000" w:rsidDel="00000000" w:rsidP="00000000" w:rsidRDefault="00000000" w:rsidRPr="00000000" w14:paraId="00000194">
      <w:pPr>
        <w:numPr>
          <w:ilvl w:val="0"/>
          <w:numId w:val="1"/>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Resources Available:</w:t>
      </w:r>
      <w:r w:rsidDel="00000000" w:rsidR="00000000" w:rsidRPr="00000000">
        <w:rPr>
          <w:rFonts w:ascii="Helvetica Neue" w:cs="Helvetica Neue" w:eastAsia="Helvetica Neue" w:hAnsi="Helvetica Neue"/>
          <w:i w:val="1"/>
          <w:rtl w:val="0"/>
        </w:rPr>
        <w:t xml:space="preserve"> </w:t>
      </w:r>
    </w:p>
    <w:p w:rsidR="00000000" w:rsidDel="00000000" w:rsidP="00000000" w:rsidRDefault="00000000" w:rsidRPr="00000000" w14:paraId="00000195">
      <w:pPr>
        <w:numPr>
          <w:ilvl w:val="1"/>
          <w:numId w:val="1"/>
        </w:numPr>
        <w:spacing w:after="240" w:before="0" w:beforeAutospacing="0" w:lineRule="auto"/>
        <w:ind w:left="1440" w:hanging="360"/>
        <w:rPr>
          <w:rFonts w:ascii="Helvetica Neue" w:cs="Helvetica Neue" w:eastAsia="Helvetica Neue" w:hAnsi="Helvetica Neue"/>
          <w:i w:val="1"/>
        </w:rPr>
      </w:pPr>
      <w:hyperlink r:id="rId11">
        <w:r w:rsidDel="00000000" w:rsidR="00000000" w:rsidRPr="00000000">
          <w:rPr>
            <w:rFonts w:ascii="Helvetica Neue" w:cs="Helvetica Neue" w:eastAsia="Helvetica Neue" w:hAnsi="Helvetica Neue"/>
            <w:i w:val="1"/>
            <w:color w:val="1155cc"/>
            <w:u w:val="single"/>
            <w:rtl w:val="0"/>
          </w:rPr>
          <w:t xml:space="preserve">Colorado Charter Authorizer Standards</w:t>
        </w:r>
      </w:hyperlink>
      <w:r w:rsidDel="00000000" w:rsidR="00000000" w:rsidRPr="00000000">
        <w:rPr>
          <w:rtl w:val="0"/>
        </w:rPr>
      </w:r>
    </w:p>
    <w:sdt>
      <w:sdtPr>
        <w:id w:val="938246929"/>
        <w:tag w:val="goog_rdk_10"/>
      </w:sdtPr>
      <w:sdtContent>
        <w:p w:rsidR="00000000" w:rsidDel="00000000" w:rsidP="00000000" w:rsidRDefault="00000000" w:rsidRPr="00000000" w14:paraId="00000196">
          <w:pPr>
            <w:pStyle w:val="Heading3"/>
            <w:keepNext w:val="0"/>
            <w:keepLines w:val="0"/>
            <w:spacing w:before="280" w:lineRule="auto"/>
            <w:rPr>
              <w:rFonts w:ascii="Helvetica Neue" w:cs="Helvetica Neue" w:eastAsia="Helvetica Neue" w:hAnsi="Helvetica Neue"/>
              <w:b w:val="1"/>
              <w:color w:val="000000"/>
              <w:sz w:val="26"/>
              <w:szCs w:val="26"/>
            </w:rPr>
          </w:pPr>
          <w:bookmarkStart w:colFirst="0" w:colLast="0" w:name="_heading=h.9bfc9w9ihoxs" w:id="14"/>
          <w:bookmarkEnd w:id="14"/>
          <w:r w:rsidDel="00000000" w:rsidR="00000000" w:rsidRPr="00000000">
            <w:rPr>
              <w:rFonts w:ascii="Helvetica Neue" w:cs="Helvetica Neue" w:eastAsia="Helvetica Neue" w:hAnsi="Helvetica Neue"/>
              <w:b w:val="1"/>
              <w:color w:val="000000"/>
              <w:sz w:val="26"/>
              <w:szCs w:val="26"/>
              <w:rtl w:val="0"/>
            </w:rPr>
            <w:t xml:space="preserve">Domain B: Application Process &amp; Decision-Making</w:t>
          </w:r>
        </w:p>
      </w:sdtContent>
    </w:sdt>
    <w:p w:rsidR="00000000" w:rsidDel="00000000" w:rsidP="00000000" w:rsidRDefault="00000000" w:rsidRPr="00000000" w14:paraId="00000197">
      <w:pPr>
        <w:numPr>
          <w:ilvl w:val="0"/>
          <w:numId w:val="5"/>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Areas to Consider for Growth:</w:t>
      </w:r>
      <w:r w:rsidDel="00000000" w:rsidR="00000000" w:rsidRPr="00000000">
        <w:rPr>
          <w:rFonts w:ascii="Helvetica Neue" w:cs="Helvetica Neue" w:eastAsia="Helvetica Neue" w:hAnsi="Helvetica Neue"/>
          <w:i w:val="1"/>
          <w:rtl w:val="0"/>
        </w:rPr>
        <w:t xml:space="preserve"> Clarity and transparency of application materials and timelines; differentiated criteria for first-time vs. replication proposals; consistent evaluator training and use of rigorous, multi-stage review processes; public communication of priorities and evaluation criteria; safeguards to ensure impartial and conflict-free decision-making, implementing the use of an external, expert reviewer (i.e., CACSA).</w:t>
      </w:r>
    </w:p>
    <w:p w:rsidR="00000000" w:rsidDel="00000000" w:rsidP="00000000" w:rsidRDefault="00000000" w:rsidRPr="00000000" w14:paraId="00000198">
      <w:pPr>
        <w:numPr>
          <w:ilvl w:val="0"/>
          <w:numId w:val="5"/>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Immediate Actions:</w:t>
      </w:r>
      <w:r w:rsidDel="00000000" w:rsidR="00000000" w:rsidRPr="00000000">
        <w:rPr>
          <w:rFonts w:ascii="Helvetica Neue" w:cs="Helvetica Neue" w:eastAsia="Helvetica Neue" w:hAnsi="Helvetica Neue"/>
          <w:i w:val="1"/>
          <w:rtl w:val="0"/>
        </w:rPr>
        <w:t xml:space="preserve"> Update or refine RFP materials to clearly state authorizer priorities, evaluation criteria, and process steps; ensure application timelines are reasonable and publicly posted; develop or refine evaluator training protocols and conflict-of-interest safeguards; differentiate guidance and criteria for new applicants versus replicators; establish consistent due diligence practices across all proposals.</w:t>
      </w:r>
    </w:p>
    <w:p w:rsidR="00000000" w:rsidDel="00000000" w:rsidP="00000000" w:rsidRDefault="00000000" w:rsidRPr="00000000" w14:paraId="00000199">
      <w:pPr>
        <w:numPr>
          <w:ilvl w:val="0"/>
          <w:numId w:val="5"/>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Resources Available:</w:t>
      </w:r>
      <w:r w:rsidDel="00000000" w:rsidR="00000000" w:rsidRPr="00000000">
        <w:rPr>
          <w:rtl w:val="0"/>
        </w:rPr>
      </w:r>
    </w:p>
    <w:p w:rsidR="00000000" w:rsidDel="00000000" w:rsidP="00000000" w:rsidRDefault="00000000" w:rsidRPr="00000000" w14:paraId="0000019A">
      <w:pPr>
        <w:numPr>
          <w:ilvl w:val="1"/>
          <w:numId w:val="5"/>
        </w:numPr>
        <w:spacing w:after="0" w:afterAutospacing="0" w:before="0" w:beforeAutospacing="0" w:lineRule="auto"/>
        <w:ind w:left="1440" w:hanging="360"/>
        <w:rPr>
          <w:rFonts w:ascii="Helvetica Neue" w:cs="Helvetica Neue" w:eastAsia="Helvetica Neue" w:hAnsi="Helvetica Neue"/>
        </w:rPr>
      </w:pPr>
      <w:hyperlink r:id="rId12">
        <w:r w:rsidDel="00000000" w:rsidR="00000000" w:rsidRPr="00000000">
          <w:rPr>
            <w:rFonts w:ascii="Helvetica Neue" w:cs="Helvetica Neue" w:eastAsia="Helvetica Neue" w:hAnsi="Helvetica Neue"/>
            <w:i w:val="1"/>
            <w:color w:val="1155cc"/>
            <w:u w:val="single"/>
            <w:rtl w:val="0"/>
          </w:rPr>
          <w:t xml:space="preserve">CACSA Model Application</w:t>
        </w:r>
      </w:hyperlink>
      <w:r w:rsidDel="00000000" w:rsidR="00000000" w:rsidRPr="00000000">
        <w:rPr>
          <w:rtl w:val="0"/>
        </w:rPr>
      </w:r>
    </w:p>
    <w:p w:rsidR="00000000" w:rsidDel="00000000" w:rsidP="00000000" w:rsidRDefault="00000000" w:rsidRPr="00000000" w14:paraId="0000019B">
      <w:pPr>
        <w:numPr>
          <w:ilvl w:val="1"/>
          <w:numId w:val="5"/>
        </w:numPr>
        <w:spacing w:after="0" w:afterAutospacing="0" w:before="0" w:beforeAutospacing="0" w:lineRule="auto"/>
        <w:ind w:left="1440" w:hanging="360"/>
        <w:rPr>
          <w:rFonts w:ascii="Helvetica Neue" w:cs="Helvetica Neue" w:eastAsia="Helvetica Neue" w:hAnsi="Helvetica Neue"/>
        </w:rPr>
      </w:pPr>
      <w:hyperlink r:id="rId13">
        <w:r w:rsidDel="00000000" w:rsidR="00000000" w:rsidRPr="00000000">
          <w:rPr>
            <w:rFonts w:ascii="Helvetica Neue" w:cs="Helvetica Neue" w:eastAsia="Helvetica Neue" w:hAnsi="Helvetica Neue"/>
            <w:i w:val="1"/>
            <w:color w:val="1155cc"/>
            <w:u w:val="single"/>
            <w:rtl w:val="0"/>
          </w:rPr>
          <w:t xml:space="preserve">CACSA Model Application Rubric</w:t>
        </w:r>
      </w:hyperlink>
      <w:r w:rsidDel="00000000" w:rsidR="00000000" w:rsidRPr="00000000">
        <w:rPr>
          <w:rtl w:val="0"/>
        </w:rPr>
      </w:r>
    </w:p>
    <w:p w:rsidR="00000000" w:rsidDel="00000000" w:rsidP="00000000" w:rsidRDefault="00000000" w:rsidRPr="00000000" w14:paraId="0000019C">
      <w:pPr>
        <w:numPr>
          <w:ilvl w:val="1"/>
          <w:numId w:val="5"/>
        </w:numPr>
        <w:spacing w:after="240" w:before="0" w:beforeAutospacing="0" w:lineRule="auto"/>
        <w:ind w:left="1440" w:hanging="360"/>
        <w:rPr>
          <w:rFonts w:ascii="Helvetica Neue" w:cs="Helvetica Neue" w:eastAsia="Helvetica Neue" w:hAnsi="Helvetica Neue"/>
        </w:rPr>
      </w:pPr>
      <w:hyperlink r:id="rId14">
        <w:r w:rsidDel="00000000" w:rsidR="00000000" w:rsidRPr="00000000">
          <w:rPr>
            <w:rFonts w:ascii="Helvetica Neue" w:cs="Helvetica Neue" w:eastAsia="Helvetica Neue" w:hAnsi="Helvetica Neue"/>
            <w:i w:val="1"/>
            <w:color w:val="1155cc"/>
            <w:u w:val="single"/>
            <w:rtl w:val="0"/>
          </w:rPr>
          <w:t xml:space="preserve">CACSA Bootcamp Materials</w:t>
        </w:r>
      </w:hyperlink>
      <w:r w:rsidDel="00000000" w:rsidR="00000000" w:rsidRPr="00000000">
        <w:rPr>
          <w:rtl w:val="0"/>
        </w:rPr>
      </w:r>
    </w:p>
    <w:sdt>
      <w:sdtPr>
        <w:id w:val="-303123714"/>
        <w:tag w:val="goog_rdk_11"/>
      </w:sdtPr>
      <w:sdtContent>
        <w:p w:rsidR="00000000" w:rsidDel="00000000" w:rsidP="00000000" w:rsidRDefault="00000000" w:rsidRPr="00000000" w14:paraId="0000019D">
          <w:pPr>
            <w:pStyle w:val="Heading3"/>
            <w:keepNext w:val="0"/>
            <w:keepLines w:val="0"/>
            <w:spacing w:before="280" w:lineRule="auto"/>
            <w:rPr>
              <w:rFonts w:ascii="Helvetica Neue" w:cs="Helvetica Neue" w:eastAsia="Helvetica Neue" w:hAnsi="Helvetica Neue"/>
              <w:b w:val="1"/>
              <w:color w:val="000000"/>
              <w:sz w:val="26"/>
              <w:szCs w:val="26"/>
            </w:rPr>
          </w:pPr>
          <w:bookmarkStart w:colFirst="0" w:colLast="0" w:name="_heading=h.mseqev2oyksr" w:id="15"/>
          <w:bookmarkEnd w:id="15"/>
          <w:r w:rsidDel="00000000" w:rsidR="00000000" w:rsidRPr="00000000">
            <w:rPr>
              <w:rFonts w:ascii="Helvetica Neue" w:cs="Helvetica Neue" w:eastAsia="Helvetica Neue" w:hAnsi="Helvetica Neue"/>
              <w:b w:val="1"/>
              <w:color w:val="000000"/>
              <w:sz w:val="26"/>
              <w:szCs w:val="26"/>
              <w:rtl w:val="0"/>
            </w:rPr>
            <w:t xml:space="preserve">Domain C: Performance Contracting</w:t>
          </w:r>
        </w:p>
      </w:sdtContent>
    </w:sdt>
    <w:p w:rsidR="00000000" w:rsidDel="00000000" w:rsidP="00000000" w:rsidRDefault="00000000" w:rsidRPr="00000000" w14:paraId="0000019E">
      <w:pPr>
        <w:numPr>
          <w:ilvl w:val="0"/>
          <w:numId w:val="9"/>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Areas to Consider for Growth:</w:t>
      </w:r>
      <w:r w:rsidDel="00000000" w:rsidR="00000000" w:rsidRPr="00000000">
        <w:rPr>
          <w:rFonts w:ascii="Helvetica Neue" w:cs="Helvetica Neue" w:eastAsia="Helvetica Neue" w:hAnsi="Helvetica Neue"/>
          <w:i w:val="1"/>
          <w:rtl w:val="0"/>
        </w:rPr>
        <w:t xml:space="preserve"> Clarity and consistency of contract terms related to autonomy, accountability, and equity; inclusion of measurable performance standards and defined evidence sources; oversight of third-party providers; execution of contracts directly with independent governing boards.</w:t>
      </w:r>
    </w:p>
    <w:p w:rsidR="00000000" w:rsidDel="00000000" w:rsidP="00000000" w:rsidRDefault="00000000" w:rsidRPr="00000000" w14:paraId="0000019F">
      <w:pPr>
        <w:numPr>
          <w:ilvl w:val="0"/>
          <w:numId w:val="9"/>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Immediate Actions:</w:t>
      </w:r>
      <w:r w:rsidDel="00000000" w:rsidR="00000000" w:rsidRPr="00000000">
        <w:rPr>
          <w:rFonts w:ascii="Helvetica Neue" w:cs="Helvetica Neue" w:eastAsia="Helvetica Neue" w:hAnsi="Helvetica Neue"/>
          <w:i w:val="1"/>
          <w:rtl w:val="0"/>
        </w:rPr>
        <w:t xml:space="preserve"> Review and revise contract templates to ensure they include clear rights, responsibilities, and autonomies; confirm that academic, financial, and operational standards are measurable and aligned to statutory expectations; define evidence sources for evaluation within each contract; separate optional service agreements from charter approval or renewal decisions; include oversight provisions for any third-party providers.</w:t>
      </w:r>
    </w:p>
    <w:p w:rsidR="00000000" w:rsidDel="00000000" w:rsidP="00000000" w:rsidRDefault="00000000" w:rsidRPr="00000000" w14:paraId="000001A0">
      <w:pPr>
        <w:numPr>
          <w:ilvl w:val="0"/>
          <w:numId w:val="9"/>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Resources Available:</w:t>
      </w:r>
      <w:r w:rsidDel="00000000" w:rsidR="00000000" w:rsidRPr="00000000">
        <w:rPr>
          <w:rtl w:val="0"/>
        </w:rPr>
      </w:r>
    </w:p>
    <w:p w:rsidR="00000000" w:rsidDel="00000000" w:rsidP="00000000" w:rsidRDefault="00000000" w:rsidRPr="00000000" w14:paraId="000001A1">
      <w:pPr>
        <w:numPr>
          <w:ilvl w:val="1"/>
          <w:numId w:val="9"/>
        </w:numPr>
        <w:spacing w:after="240" w:before="0" w:beforeAutospacing="0" w:lineRule="auto"/>
        <w:ind w:left="1440" w:hanging="360"/>
        <w:rPr>
          <w:rFonts w:ascii="Helvetica Neue" w:cs="Helvetica Neue" w:eastAsia="Helvetica Neue" w:hAnsi="Helvetica Neue"/>
          <w:i w:val="1"/>
          <w:u w:val="none"/>
        </w:rPr>
      </w:pPr>
      <w:hyperlink r:id="rId15">
        <w:r w:rsidDel="00000000" w:rsidR="00000000" w:rsidRPr="00000000">
          <w:rPr>
            <w:rFonts w:ascii="Helvetica Neue" w:cs="Helvetica Neue" w:eastAsia="Helvetica Neue" w:hAnsi="Helvetica Neue"/>
            <w:i w:val="1"/>
            <w:color w:val="1155cc"/>
            <w:u w:val="single"/>
            <w:rtl w:val="0"/>
          </w:rPr>
          <w:t xml:space="preserve">CACSA Model Charter Contract</w:t>
        </w:r>
      </w:hyperlink>
      <w:r w:rsidDel="00000000" w:rsidR="00000000" w:rsidRPr="00000000">
        <w:rPr>
          <w:rtl w:val="0"/>
        </w:rPr>
      </w:r>
    </w:p>
    <w:p w:rsidR="00000000" w:rsidDel="00000000" w:rsidP="00000000" w:rsidRDefault="00000000" w:rsidRPr="00000000" w14:paraId="000001A2">
      <w:pPr>
        <w:spacing w:after="240" w:before="240" w:lineRule="auto"/>
        <w:ind w:left="0" w:firstLine="0"/>
        <w:rPr>
          <w:rFonts w:ascii="Helvetica Neue" w:cs="Helvetica Neue" w:eastAsia="Helvetica Neue" w:hAnsi="Helvetica Neue"/>
          <w:b w:val="1"/>
          <w:color w:val="000000"/>
          <w:sz w:val="26"/>
          <w:szCs w:val="26"/>
        </w:rPr>
      </w:pPr>
      <w:r w:rsidDel="00000000" w:rsidR="00000000" w:rsidRPr="00000000">
        <w:rPr>
          <w:rFonts w:ascii="Helvetica Neue" w:cs="Helvetica Neue" w:eastAsia="Helvetica Neue" w:hAnsi="Helvetica Neue"/>
          <w:b w:val="1"/>
          <w:color w:val="000000"/>
          <w:sz w:val="26"/>
          <w:szCs w:val="26"/>
          <w:rtl w:val="0"/>
        </w:rPr>
        <w:t xml:space="preserve">Domain D: Ongoing Oversight &amp; Evaluation</w:t>
      </w:r>
    </w:p>
    <w:p w:rsidR="00000000" w:rsidDel="00000000" w:rsidP="00000000" w:rsidRDefault="00000000" w:rsidRPr="00000000" w14:paraId="000001A3">
      <w:pPr>
        <w:numPr>
          <w:ilvl w:val="0"/>
          <w:numId w:val="7"/>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Areas to Consider for Growth:</w:t>
      </w:r>
      <w:r w:rsidDel="00000000" w:rsidR="00000000" w:rsidRPr="00000000">
        <w:rPr>
          <w:rFonts w:ascii="Helvetica Neue" w:cs="Helvetica Neue" w:eastAsia="Helvetica Neue" w:hAnsi="Helvetica Neue"/>
          <w:i w:val="1"/>
          <w:rtl w:val="0"/>
        </w:rPr>
        <w:t xml:space="preserve"> Clarity of reporting expectations and timelines; streamlining compliance to reduce burden on schools; use of targeted, non-intrusive site visits; consistency in annual performance and public reporting; oversight systems that safeguard student rights and ensure timely, transparent interventions.</w:t>
      </w:r>
    </w:p>
    <w:p w:rsidR="00000000" w:rsidDel="00000000" w:rsidP="00000000" w:rsidRDefault="00000000" w:rsidRPr="00000000" w14:paraId="000001A4">
      <w:pPr>
        <w:numPr>
          <w:ilvl w:val="0"/>
          <w:numId w:val="7"/>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Immediate Actions:</w:t>
      </w:r>
      <w:r w:rsidDel="00000000" w:rsidR="00000000" w:rsidRPr="00000000">
        <w:rPr>
          <w:rFonts w:ascii="Helvetica Neue" w:cs="Helvetica Neue" w:eastAsia="Helvetica Neue" w:hAnsi="Helvetica Neue"/>
          <w:i w:val="1"/>
          <w:rtl w:val="0"/>
        </w:rPr>
        <w:t xml:space="preserve"> Define and publish clear reporting calendars and expectations for schools; streamline compliance submissions across federal, state, and local requirements; ensure school visits are purposeful and minimally disruptive; produce annual performance reports for both schools and the public; review and implement equitable intervention protocols; confirm oversight practices protect student rights in admissions, discipline, and services.</w:t>
      </w:r>
    </w:p>
    <w:p w:rsidR="00000000" w:rsidDel="00000000" w:rsidP="00000000" w:rsidRDefault="00000000" w:rsidRPr="00000000" w14:paraId="000001A5">
      <w:pPr>
        <w:numPr>
          <w:ilvl w:val="0"/>
          <w:numId w:val="7"/>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Resources Available:</w:t>
      </w:r>
      <w:r w:rsidDel="00000000" w:rsidR="00000000" w:rsidRPr="00000000">
        <w:rPr>
          <w:rFonts w:ascii="Helvetica Neue" w:cs="Helvetica Neue" w:eastAsia="Helvetica Neue" w:hAnsi="Helvetica Neue"/>
          <w:i w:val="1"/>
          <w:rtl w:val="0"/>
        </w:rPr>
        <w:tab/>
      </w:r>
    </w:p>
    <w:p w:rsidR="00000000" w:rsidDel="00000000" w:rsidP="00000000" w:rsidRDefault="00000000" w:rsidRPr="00000000" w14:paraId="000001A6">
      <w:pPr>
        <w:numPr>
          <w:ilvl w:val="1"/>
          <w:numId w:val="7"/>
        </w:numPr>
        <w:spacing w:after="0" w:afterAutospacing="0" w:before="0" w:beforeAutospacing="0" w:lineRule="auto"/>
        <w:ind w:left="1440" w:hanging="360"/>
        <w:rPr>
          <w:rFonts w:ascii="Helvetica Neue" w:cs="Helvetica Neue" w:eastAsia="Helvetica Neue" w:hAnsi="Helvetica Neue"/>
        </w:rPr>
      </w:pPr>
      <w:hyperlink r:id="rId16">
        <w:r w:rsidDel="00000000" w:rsidR="00000000" w:rsidRPr="00000000">
          <w:rPr>
            <w:rFonts w:ascii="Helvetica Neue" w:cs="Helvetica Neue" w:eastAsia="Helvetica Neue" w:hAnsi="Helvetica Neue"/>
            <w:i w:val="1"/>
            <w:color w:val="1155cc"/>
            <w:u w:val="single"/>
            <w:rtl w:val="0"/>
          </w:rPr>
          <w:t xml:space="preserve">CACSA Compliance Monitoring PowerPoint</w:t>
        </w:r>
      </w:hyperlink>
      <w:r w:rsidDel="00000000" w:rsidR="00000000" w:rsidRPr="00000000">
        <w:rPr>
          <w:rtl w:val="0"/>
        </w:rPr>
      </w:r>
    </w:p>
    <w:p w:rsidR="00000000" w:rsidDel="00000000" w:rsidP="00000000" w:rsidRDefault="00000000" w:rsidRPr="00000000" w14:paraId="000001A7">
      <w:pPr>
        <w:numPr>
          <w:ilvl w:val="1"/>
          <w:numId w:val="7"/>
        </w:numPr>
        <w:spacing w:after="0" w:afterAutospacing="0" w:before="0" w:beforeAutospacing="0" w:lineRule="auto"/>
        <w:ind w:left="1440" w:hanging="360"/>
        <w:rPr>
          <w:rFonts w:ascii="Helvetica Neue" w:cs="Helvetica Neue" w:eastAsia="Helvetica Neue" w:hAnsi="Helvetica Neue"/>
          <w:i w:val="1"/>
          <w:u w:val="none"/>
        </w:rPr>
      </w:pPr>
      <w:hyperlink r:id="rId17">
        <w:r w:rsidDel="00000000" w:rsidR="00000000" w:rsidRPr="00000000">
          <w:rPr>
            <w:rFonts w:ascii="Helvetica Neue" w:cs="Helvetica Neue" w:eastAsia="Helvetica Neue" w:hAnsi="Helvetica Neue"/>
            <w:i w:val="1"/>
            <w:color w:val="1155cc"/>
            <w:u w:val="single"/>
            <w:rtl w:val="0"/>
          </w:rPr>
          <w:t xml:space="preserve">CACSA Annual Report Template</w:t>
        </w:r>
      </w:hyperlink>
      <w:r w:rsidDel="00000000" w:rsidR="00000000" w:rsidRPr="00000000">
        <w:rPr>
          <w:rtl w:val="0"/>
        </w:rPr>
      </w:r>
    </w:p>
    <w:p w:rsidR="00000000" w:rsidDel="00000000" w:rsidP="00000000" w:rsidRDefault="00000000" w:rsidRPr="00000000" w14:paraId="000001A8">
      <w:pPr>
        <w:numPr>
          <w:ilvl w:val="1"/>
          <w:numId w:val="7"/>
        </w:numPr>
        <w:spacing w:after="240" w:before="0" w:beforeAutospacing="0" w:lineRule="auto"/>
        <w:ind w:left="1440" w:hanging="360"/>
        <w:rPr>
          <w:rFonts w:ascii="Helvetica Neue" w:cs="Helvetica Neue" w:eastAsia="Helvetica Neue" w:hAnsi="Helvetica Neue"/>
        </w:rPr>
      </w:pPr>
      <w:hyperlink r:id="rId18">
        <w:r w:rsidDel="00000000" w:rsidR="00000000" w:rsidRPr="00000000">
          <w:rPr>
            <w:rFonts w:ascii="Helvetica Neue" w:cs="Helvetica Neue" w:eastAsia="Helvetica Neue" w:hAnsi="Helvetica Neue"/>
            <w:i w:val="1"/>
            <w:color w:val="1155cc"/>
            <w:u w:val="single"/>
            <w:rtl w:val="0"/>
          </w:rPr>
          <w:t xml:space="preserve">Site Visit Protocols and Planning Guides</w:t>
        </w:r>
      </w:hyperlink>
      <w:r w:rsidDel="00000000" w:rsidR="00000000" w:rsidRPr="00000000">
        <w:rPr>
          <w:rtl w:val="0"/>
        </w:rPr>
      </w:r>
    </w:p>
    <w:p w:rsidR="00000000" w:rsidDel="00000000" w:rsidP="00000000" w:rsidRDefault="00000000" w:rsidRPr="00000000" w14:paraId="000001A9">
      <w:pPr>
        <w:pStyle w:val="Heading3"/>
        <w:keepNext w:val="0"/>
        <w:keepLines w:val="0"/>
        <w:spacing w:before="280" w:lineRule="auto"/>
        <w:rPr>
          <w:rFonts w:ascii="Helvetica Neue" w:cs="Helvetica Neue" w:eastAsia="Helvetica Neue" w:hAnsi="Helvetica Neue"/>
          <w:b w:val="1"/>
          <w:color w:val="000000"/>
          <w:sz w:val="26"/>
          <w:szCs w:val="26"/>
        </w:rPr>
      </w:pPr>
      <w:bookmarkStart w:colFirst="0" w:colLast="0" w:name="_heading=h.nl23l8rlgkrd" w:id="16"/>
      <w:bookmarkEnd w:id="16"/>
      <w:r w:rsidDel="00000000" w:rsidR="00000000" w:rsidRPr="00000000">
        <w:rPr>
          <w:rFonts w:ascii="Helvetica Neue" w:cs="Helvetica Neue" w:eastAsia="Helvetica Neue" w:hAnsi="Helvetica Neue"/>
          <w:b w:val="1"/>
          <w:color w:val="000000"/>
          <w:sz w:val="26"/>
          <w:szCs w:val="26"/>
          <w:rtl w:val="0"/>
        </w:rPr>
        <w:t xml:space="preserve">Domain E: Revocation &amp; Renewal Decision-Making</w:t>
      </w:r>
    </w:p>
    <w:p w:rsidR="00000000" w:rsidDel="00000000" w:rsidP="00000000" w:rsidRDefault="00000000" w:rsidRPr="00000000" w14:paraId="000001AA">
      <w:pPr>
        <w:numPr>
          <w:ilvl w:val="0"/>
          <w:numId w:val="3"/>
        </w:numPr>
        <w:spacing w:after="0" w:afterAutospacing="0" w:befor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Areas to Consider for Growth:</w:t>
      </w:r>
      <w:r w:rsidDel="00000000" w:rsidR="00000000" w:rsidRPr="00000000">
        <w:rPr>
          <w:rFonts w:ascii="Helvetica Neue" w:cs="Helvetica Neue" w:eastAsia="Helvetica Neue" w:hAnsi="Helvetica Neue"/>
          <w:i w:val="1"/>
          <w:rtl w:val="0"/>
        </w:rPr>
        <w:t xml:space="preserve"> Use of comprehensive performance data in renewal decisions; consistent application of renewal criteria; clarity and transparency in communication of timelines, decisions, and appeal rights; provision of cumulative performance reports; strength of closure protocols to protect students and ensure legal compliance.</w:t>
      </w:r>
    </w:p>
    <w:p w:rsidR="00000000" w:rsidDel="00000000" w:rsidP="00000000" w:rsidRDefault="00000000" w:rsidRPr="00000000" w14:paraId="000001AB">
      <w:pPr>
        <w:numPr>
          <w:ilvl w:val="0"/>
          <w:numId w:val="3"/>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Immediate Actions:</w:t>
      </w:r>
      <w:r w:rsidDel="00000000" w:rsidR="00000000" w:rsidRPr="00000000">
        <w:rPr>
          <w:rFonts w:ascii="Helvetica Neue" w:cs="Helvetica Neue" w:eastAsia="Helvetica Neue" w:hAnsi="Helvetica Neue"/>
          <w:i w:val="1"/>
          <w:rtl w:val="0"/>
        </w:rPr>
        <w:t xml:space="preserve"> Establish clear, written renewal and revocation criteria aligned to academic, financial, and operational evidence; publish timelines and expectations for renewal processes; provide schools with cumulative performance data and opportunity to respond; communicate appeal rights in writing; review and strengthen closure protocols to ensure smooth student transitions and proper asset disposition.</w:t>
      </w:r>
    </w:p>
    <w:p w:rsidR="00000000" w:rsidDel="00000000" w:rsidP="00000000" w:rsidRDefault="00000000" w:rsidRPr="00000000" w14:paraId="000001AC">
      <w:pPr>
        <w:numPr>
          <w:ilvl w:val="0"/>
          <w:numId w:val="3"/>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i w:val="1"/>
          <w:rtl w:val="0"/>
        </w:rPr>
        <w:t xml:space="preserve">Resources Available:</w:t>
      </w:r>
      <w:r w:rsidDel="00000000" w:rsidR="00000000" w:rsidRPr="00000000">
        <w:rPr>
          <w:rtl w:val="0"/>
        </w:rPr>
      </w:r>
    </w:p>
    <w:p w:rsidR="00000000" w:rsidDel="00000000" w:rsidP="00000000" w:rsidRDefault="00000000" w:rsidRPr="00000000" w14:paraId="000001AD">
      <w:pPr>
        <w:numPr>
          <w:ilvl w:val="1"/>
          <w:numId w:val="3"/>
        </w:numPr>
        <w:spacing w:after="240" w:before="0" w:beforeAutospacing="0" w:lineRule="auto"/>
        <w:ind w:left="1440" w:hanging="360"/>
        <w:rPr>
          <w:rFonts w:ascii="Helvetica Neue" w:cs="Helvetica Neue" w:eastAsia="Helvetica Neue" w:hAnsi="Helvetica Neue"/>
          <w:i w:val="1"/>
          <w:u w:val="none"/>
        </w:rPr>
      </w:pPr>
      <w:hyperlink r:id="rId19">
        <w:r w:rsidDel="00000000" w:rsidR="00000000" w:rsidRPr="00000000">
          <w:rPr>
            <w:rFonts w:ascii="Helvetica Neue" w:cs="Helvetica Neue" w:eastAsia="Helvetica Neue" w:hAnsi="Helvetica Neue"/>
            <w:i w:val="1"/>
            <w:color w:val="1155cc"/>
            <w:u w:val="single"/>
            <w:rtl w:val="0"/>
          </w:rPr>
          <w:t xml:space="preserve">Sample Renewal Application Materials and Timelines</w:t>
        </w:r>
      </w:hyperlink>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1B0">
      <w:pPr>
        <w:pStyle w:val="Heading2"/>
        <w:spacing w:after="0" w:lineRule="auto"/>
        <w:rPr>
          <w:rFonts w:ascii="Helvetica Neue" w:cs="Helvetica Neue" w:eastAsia="Helvetica Neue" w:hAnsi="Helvetica Neue"/>
          <w:b w:val="1"/>
          <w:color w:val="000000"/>
        </w:rPr>
      </w:pPr>
      <w:bookmarkStart w:colFirst="0" w:colLast="0" w:name="_heading=h.mhtmedu2kgbf" w:id="17"/>
      <w:bookmarkEnd w:id="17"/>
      <w:r w:rsidDel="00000000" w:rsidR="00000000" w:rsidRPr="00000000">
        <w:rPr>
          <w:rFonts w:ascii="Helvetica Neue" w:cs="Helvetica Neue" w:eastAsia="Helvetica Neue" w:hAnsi="Helvetica Neue"/>
          <w:b w:val="1"/>
          <w:color w:val="000000"/>
          <w:rtl w:val="0"/>
        </w:rPr>
        <w:t xml:space="preserve">Acknowledgements</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Colorado Association of Charter School Authorizers (CACSA) gratefully acknowledges the partnership and support of the Colorado League of Charter Schools in the development of this Authorizer Self-Evaluation. This resource was created as part of a grant-funded initiative to strengthen authorizing practices across the state.</w:t>
      </w:r>
    </w:p>
    <w:p w:rsidR="00000000" w:rsidDel="00000000" w:rsidP="00000000" w:rsidRDefault="00000000" w:rsidRPr="00000000" w14:paraId="000001B3">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wish to thank:</w:t>
      </w:r>
    </w:p>
    <w:p w:rsidR="00000000" w:rsidDel="00000000" w:rsidP="00000000" w:rsidRDefault="00000000" w:rsidRPr="00000000" w14:paraId="000001B4">
      <w:pPr>
        <w:numPr>
          <w:ilvl w:val="0"/>
          <w:numId w:val="10"/>
        </w:numPr>
        <w:spacing w:after="200" w:before="240"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Colorado League of Charter Schools (CLCS):</w:t>
      </w:r>
      <w:r w:rsidDel="00000000" w:rsidR="00000000" w:rsidRPr="00000000">
        <w:rPr>
          <w:rFonts w:ascii="Helvetica Neue" w:cs="Helvetica Neue" w:eastAsia="Helvetica Neue" w:hAnsi="Helvetica Neue"/>
          <w:rtl w:val="0"/>
        </w:rPr>
        <w:t xml:space="preserve"> for providing the funding, guidance, and collaboration that made this project possible.</w:t>
      </w:r>
    </w:p>
    <w:p w:rsidR="00000000" w:rsidDel="00000000" w:rsidP="00000000" w:rsidRDefault="00000000" w:rsidRPr="00000000" w14:paraId="000001B5">
      <w:pPr>
        <w:numPr>
          <w:ilvl w:val="0"/>
          <w:numId w:val="10"/>
        </w:numPr>
        <w:spacing w:after="200" w:before="0" w:line="36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CACSA Leadership:</w:t>
      </w:r>
      <w:r w:rsidDel="00000000" w:rsidR="00000000" w:rsidRPr="00000000">
        <w:rPr>
          <w:rFonts w:ascii="Helvetica Neue" w:cs="Helvetica Neue" w:eastAsia="Helvetica Neue" w:hAnsi="Helvetica Neue"/>
          <w:rtl w:val="0"/>
        </w:rPr>
        <w:t xml:space="preserve"> Dr. Mackenzie Khan for project oversight, coordination, and authorship of core materials.</w:t>
      </w:r>
    </w:p>
    <w:p w:rsidR="00000000" w:rsidDel="00000000" w:rsidP="00000000" w:rsidRDefault="00000000" w:rsidRPr="00000000" w14:paraId="000001B6">
      <w:pPr>
        <w:numPr>
          <w:ilvl w:val="0"/>
          <w:numId w:val="2"/>
        </w:numPr>
        <w:spacing w:after="200" w:before="0"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CACSA Members:</w:t>
      </w:r>
      <w:r w:rsidDel="00000000" w:rsidR="00000000" w:rsidRPr="00000000">
        <w:rPr>
          <w:rFonts w:ascii="Helvetica Neue" w:cs="Helvetica Neue" w:eastAsia="Helvetica Neue" w:hAnsi="Helvetica Neue"/>
          <w:rtl w:val="0"/>
        </w:rPr>
        <w:t xml:space="preserve"> for contributing sample documents, and insights that informed the evidence examples included throughout this tool.</w:t>
      </w:r>
      <w:r w:rsidDel="00000000" w:rsidR="00000000" w:rsidRPr="00000000">
        <w:rPr>
          <w:rtl w:val="0"/>
        </w:rPr>
      </w:r>
    </w:p>
    <w:p w:rsidR="00000000" w:rsidDel="00000000" w:rsidP="00000000" w:rsidRDefault="00000000" w:rsidRPr="00000000" w14:paraId="000001B7">
      <w:pPr>
        <w:numPr>
          <w:ilvl w:val="0"/>
          <w:numId w:val="2"/>
        </w:numPr>
        <w:spacing w:after="200" w:before="240" w:line="24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National Resources:</w:t>
      </w:r>
      <w:r w:rsidDel="00000000" w:rsidR="00000000" w:rsidRPr="00000000">
        <w:rPr>
          <w:rFonts w:ascii="Helvetica Neue" w:cs="Helvetica Neue" w:eastAsia="Helvetica Neue" w:hAnsi="Helvetica Neue"/>
          <w:rtl w:val="0"/>
        </w:rPr>
        <w:t xml:space="preserve"> The National Association of Charter School Authorizers (NACSA), whose </w:t>
      </w:r>
      <w:r w:rsidDel="00000000" w:rsidR="00000000" w:rsidRPr="00000000">
        <w:rPr>
          <w:rFonts w:ascii="Helvetica Neue" w:cs="Helvetica Neue" w:eastAsia="Helvetica Neue" w:hAnsi="Helvetica Neue"/>
          <w:i w:val="1"/>
          <w:rtl w:val="0"/>
        </w:rPr>
        <w:t xml:space="preserve">Principles &amp; Standards</w:t>
      </w:r>
      <w:r w:rsidDel="00000000" w:rsidR="00000000" w:rsidRPr="00000000">
        <w:rPr>
          <w:rFonts w:ascii="Helvetica Neue" w:cs="Helvetica Neue" w:eastAsia="Helvetica Neue" w:hAnsi="Helvetica Neue"/>
          <w:rtl w:val="0"/>
        </w:rPr>
        <w:t xml:space="preserve"> provided a foundational framework.</w:t>
        <w:br w:type="textWrapping"/>
      </w:r>
    </w:p>
    <w:p w:rsidR="00000000" w:rsidDel="00000000" w:rsidP="00000000" w:rsidRDefault="00000000" w:rsidRPr="00000000" w14:paraId="000001B8">
      <w:pPr>
        <w:spacing w:after="240" w:befor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toolkit is dedicated to all charter school authorizers, leaders, and board members working to ensure that every student in Colorado has equitable access to a high-quality public education.</w:t>
      </w:r>
    </w:p>
    <w:p w:rsidR="00000000" w:rsidDel="00000000" w:rsidP="00000000" w:rsidRDefault="00000000" w:rsidRPr="00000000" w14:paraId="000001B9">
      <w:pPr>
        <w:spacing w:after="240" w:before="24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br w:type="page"/>
      </w:r>
      <w:r w:rsidDel="00000000" w:rsidR="00000000" w:rsidRPr="00000000">
        <w:rPr>
          <w:rtl w:val="0"/>
        </w:rPr>
      </w:r>
    </w:p>
    <w:p w:rsidR="00000000" w:rsidDel="00000000" w:rsidP="00000000" w:rsidRDefault="00000000" w:rsidRPr="00000000" w14:paraId="000001BC">
      <w:pPr>
        <w:pStyle w:val="Heading2"/>
        <w:rPr>
          <w:rFonts w:ascii="Helvetica Neue" w:cs="Helvetica Neue" w:eastAsia="Helvetica Neue" w:hAnsi="Helvetica Neue"/>
          <w:b w:val="1"/>
          <w:color w:val="000000"/>
        </w:rPr>
      </w:pPr>
      <w:bookmarkStart w:colFirst="0" w:colLast="0" w:name="_heading=h.tvbu3dmp8ogt" w:id="18"/>
      <w:bookmarkEnd w:id="18"/>
      <w:r w:rsidDel="00000000" w:rsidR="00000000" w:rsidRPr="00000000">
        <w:rPr>
          <w:rFonts w:ascii="Helvetica Neue" w:cs="Helvetica Neue" w:eastAsia="Helvetica Neue" w:hAnsi="Helvetica Neue"/>
          <w:b w:val="1"/>
          <w:color w:val="000000"/>
          <w:rtl w:val="0"/>
        </w:rPr>
        <w:t xml:space="preserve">Contact Information</w:t>
      </w:r>
    </w:p>
    <w:p w:rsidR="00000000" w:rsidDel="00000000" w:rsidP="00000000" w:rsidRDefault="00000000" w:rsidRPr="00000000" w14:paraId="000001BD">
      <w:pPr>
        <w:spacing w:after="0" w:line="276" w:lineRule="auto"/>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1BE">
      <w:pPr>
        <w:spacing w:after="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Organization:</w:t>
      </w:r>
      <w:r w:rsidDel="00000000" w:rsidR="00000000" w:rsidRPr="00000000">
        <w:rPr>
          <w:rFonts w:ascii="Helvetica Neue" w:cs="Helvetica Neue" w:eastAsia="Helvetica Neue" w:hAnsi="Helvetica Neue"/>
          <w:rtl w:val="0"/>
        </w:rPr>
        <w:t xml:space="preserve"> Colorado Association of Charter School Authorizers (CACSA)</w:t>
      </w:r>
    </w:p>
    <w:p w:rsidR="00000000" w:rsidDel="00000000" w:rsidP="00000000" w:rsidRDefault="00000000" w:rsidRPr="00000000" w14:paraId="000001BF">
      <w:pPr>
        <w:spacing w:after="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Primary Contact:</w:t>
      </w:r>
      <w:r w:rsidDel="00000000" w:rsidR="00000000" w:rsidRPr="00000000">
        <w:rPr>
          <w:rFonts w:ascii="Helvetica Neue" w:cs="Helvetica Neue" w:eastAsia="Helvetica Neue" w:hAnsi="Helvetica Neue"/>
          <w:rtl w:val="0"/>
        </w:rPr>
        <w:t xml:space="preserve"> Dr. Mackenzie Khan</w:t>
      </w:r>
    </w:p>
    <w:p w:rsidR="00000000" w:rsidDel="00000000" w:rsidP="00000000" w:rsidRDefault="00000000" w:rsidRPr="00000000" w14:paraId="000001C0">
      <w:pPr>
        <w:spacing w:after="0" w:line="276"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Email:</w:t>
      </w:r>
      <w:r w:rsidDel="00000000" w:rsidR="00000000" w:rsidRPr="00000000">
        <w:rPr>
          <w:rFonts w:ascii="Helvetica Neue" w:cs="Helvetica Neue" w:eastAsia="Helvetica Neue" w:hAnsi="Helvetica Neue"/>
          <w:rtl w:val="0"/>
        </w:rPr>
        <w:t xml:space="preserve"> mackenzie.khan@coauthorizers.org</w:t>
      </w:r>
    </w:p>
    <w:p w:rsidR="00000000" w:rsidDel="00000000" w:rsidP="00000000" w:rsidRDefault="00000000" w:rsidRPr="00000000" w14:paraId="000001C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sectPr>
      <w:type w:val="nextPage"/>
      <w:pgSz w:h="12240" w:w="15840" w:orient="landscape"/>
      <w:pgMar w:bottom="1440" w:top="810" w:left="1440" w:right="144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3">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National Association of Charter School Authorizers. </w:t>
      </w:r>
      <w:r w:rsidDel="00000000" w:rsidR="00000000" w:rsidRPr="00000000">
        <w:rPr>
          <w:i w:val="1"/>
          <w:sz w:val="20"/>
          <w:szCs w:val="20"/>
          <w:rtl w:val="0"/>
        </w:rPr>
        <w:t xml:space="preserve">Principles &amp; Standards for Quality Charter School Authorizing</w:t>
      </w:r>
      <w:r w:rsidDel="00000000" w:rsidR="00000000" w:rsidRPr="00000000">
        <w:rPr>
          <w:sz w:val="20"/>
          <w:szCs w:val="20"/>
          <w:rtl w:val="0"/>
        </w:rPr>
        <w:t xml:space="preserve"> (2020). Available at</w:t>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https://qualitycharters.org/principles-and-standards/</w:t>
        </w:r>
      </w:hyperlink>
      <w:r w:rsidDel="00000000" w:rsidR="00000000" w:rsidRPr="00000000">
        <w:rPr>
          <w:sz w:val="20"/>
          <w:szCs w:val="20"/>
          <w:rtl w:val="0"/>
        </w:rPr>
        <w:t xml:space="preserve"> </w:t>
      </w:r>
    </w:p>
  </w:footnote>
  <w:footnote w:id="1">
    <w:p w:rsidR="00000000" w:rsidDel="00000000" w:rsidP="00000000" w:rsidRDefault="00000000" w:rsidRPr="00000000" w14:paraId="000001C4">
      <w:pPr>
        <w:spacing w:after="0" w:lineRule="auto"/>
        <w:rPr>
          <w:color w:val="1155cc"/>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1 </w:t>
      </w:r>
      <w:r w:rsidDel="00000000" w:rsidR="00000000" w:rsidRPr="00000000">
        <w:rPr>
          <w:sz w:val="20"/>
          <w:szCs w:val="20"/>
          <w:rtl w:val="0"/>
        </w:rPr>
        <w:t xml:space="preserve">Colo. Code Regs. § 301-88 (2024). (Colorado Charter Authorizer Standards). Available at: </w:t>
      </w:r>
      <w:hyperlink r:id="rId2">
        <w:r w:rsidDel="00000000" w:rsidR="00000000" w:rsidRPr="00000000">
          <w:rPr>
            <w:color w:val="1155cc"/>
            <w:sz w:val="20"/>
            <w:szCs w:val="20"/>
            <w:u w:val="single"/>
            <w:rtl w:val="0"/>
          </w:rPr>
          <w:t xml:space="preserve">https://coauthorizers.org/resource/colorado-standards-for-charters-and-charter-school-authorizers/</w:t>
        </w:r>
      </w:hyperlink>
      <w:r w:rsidDel="00000000" w:rsidR="00000000" w:rsidRPr="00000000">
        <w:rPr>
          <w:rtl w:val="0"/>
        </w:rPr>
      </w:r>
    </w:p>
  </w:footnote>
  <w:footnote w:id="2">
    <w:p w:rsidR="00000000" w:rsidDel="00000000" w:rsidP="00000000" w:rsidRDefault="00000000" w:rsidRPr="00000000" w14:paraId="000001C5">
      <w:pPr>
        <w:spacing w:after="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Colorado Association of Charter School Authorizers. </w:t>
      </w:r>
      <w:r w:rsidDel="00000000" w:rsidR="00000000" w:rsidRPr="00000000">
        <w:rPr>
          <w:i w:val="1"/>
          <w:sz w:val="20"/>
          <w:szCs w:val="20"/>
          <w:rtl w:val="0"/>
        </w:rPr>
        <w:t xml:space="preserve">Resource Library</w:t>
      </w:r>
      <w:r w:rsidDel="00000000" w:rsidR="00000000" w:rsidRPr="00000000">
        <w:rPr>
          <w:sz w:val="20"/>
          <w:szCs w:val="20"/>
          <w:rtl w:val="0"/>
        </w:rPr>
        <w:t xml:space="preserve">. Available at:</w:t>
      </w:r>
      <w:hyperlink r:id="rId3">
        <w:r w:rsidDel="00000000" w:rsidR="00000000" w:rsidRPr="00000000">
          <w:rPr>
            <w:sz w:val="20"/>
            <w:szCs w:val="20"/>
            <w:rtl w:val="0"/>
          </w:rPr>
          <w:t xml:space="preserve"> </w:t>
        </w:r>
      </w:hyperlink>
      <w:hyperlink r:id="rId4">
        <w:r w:rsidDel="00000000" w:rsidR="00000000" w:rsidRPr="00000000">
          <w:rPr>
            <w:color w:val="1155cc"/>
            <w:sz w:val="20"/>
            <w:szCs w:val="20"/>
            <w:u w:val="single"/>
            <w:rtl w:val="0"/>
          </w:rPr>
          <w:t xml:space="preserve">https://coloradoauthorizers.org/resources</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rFonts w:ascii="Play" w:cs="Play" w:eastAsia="Play" w:hAnsi="Play"/>
      <w:sz w:val="56"/>
      <w:szCs w:val="56"/>
    </w:rPr>
  </w:style>
  <w:style w:type="paragraph" w:styleId="BodyText">
    <w:name w:val="Body Text"/>
    <w:basedOn w:val="Normal"/>
    <w:link w:val="BodyTextChar"/>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next w:val="Bibliography"/>
    <w:qFormat w:val="1"/>
    <w:pPr/>
    <w:rPr/>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firstLine="0"/>
    </w:pPr>
  </w:style>
  <w:style w:type="paragraph" w:styleId="FootnoteText">
    <w:name w:val="Footnote Text"/>
    <w:basedOn w:val="Normal"/>
    <w:next w:val="FootnoteText"/>
    <w:uiPriority w:val="9"/>
    <w:unhideWhenUsed w:val="1"/>
    <w:qFormat w:val="1"/>
  </w:style>
  <w:style w:type="paragraph" w:styleId="FootnoteBlockText">
    <w:name w:val="Footnote Block Text"/>
    <w:basedOn w:val="FootnoteText"/>
    <w:next w:val="FootnoteText"/>
    <w:uiPriority w:val="9"/>
    <w:unhideWhenUsed w:val="1"/>
    <w:qFormat w:val="1"/>
    <w:pPr>
      <w:spacing w:after="100" w:before="100"/>
      <w:ind w:left="480" w:right="480" w:firstLine="0"/>
    </w:pPr>
  </w:style>
  <w:style w:type="character" w:styleId="DefaultParagraphFont" w:default="1">
    <w:name w:val="Default Paragraph Font"/>
    <w:semiHidden w:val="1"/>
    <w:unhideWhenUsed w:val="1"/>
  </w:style>
  <w:style w:type="table" w:styleId="Table" w:default="1">
    <w:name w:val="Table"/>
    <w:basedOn w:val="TableNormal"/>
    <w:semiHidden w:val="1"/>
    <w:unhideWhenUsed w:val="1"/>
    <w:qFormat w:val="1"/>
    <w:tblPr>
      <w:tblInd w:w="0.0" w:type="dxa"/>
      <w:tblCellMar>
        <w:top w:w="0.0" w:type="dxa"/>
        <w:left w:w="108.0" w:type="dxa"/>
        <w:bottom w:w="0.0" w:type="dxa"/>
        <w:right w:w="108.0" w:type="dxa"/>
      </w:tblCellMar>
    </w:tblPr>
    <w:tblStylePr w:type="firstRow">
      <w:tblPr>
        <w:jc w:val="left"/>
        <w:tblInd w:w="0.0" w:type="dxa"/>
      </w:tblPr>
      <w:trPr>
        <w:jc w:val="left"/>
      </w:trPr>
      <w:tcPr>
        <w:tcBorders>
          <w:bottom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BodyTextChar"/>
    <w:pPr>
      <w:spacing w:after="120" w:before="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BodyTextChar" w:customStyle="1">
    <w:name w:val="Body Text Char"/>
    <w:basedOn w:val="DefaultParagraphFont"/>
    <w:link w:val="BodyText"/>
  </w:style>
  <w:style w:type="character" w:styleId="VerbatimChar" w:customStyle="1">
    <w:name w:val="Verbatim Char"/>
    <w:basedOn w:val="BodyTextChar"/>
    <w:rPr>
      <w:rFonts w:ascii="Consolas" w:hAnsi="Consolas"/>
      <w:sz w:val="22"/>
    </w:rPr>
  </w:style>
  <w:style w:type="character" w:styleId="SectionNumber" w:customStyle="1">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val="1"/>
    <w:qFormat w:val="1"/>
    <w:pPr>
      <w:spacing w:before="240" w:line="259" w:lineRule="auto"/>
      <w:outlineLvl w:val="9"/>
    </w:pPr>
    <w:rPr>
      <w:rFonts w:asciiTheme="majorHAnsi" w:cstheme="majorBidi" w:eastAsiaTheme="majorEastAsia" w:hAnsiTheme="majorHAnsi"/>
      <w:b w:val="0"/>
      <w:bCs w:val="0"/>
      <w:color w:val="365f91" w:themeColor="accent1" w:themeShade="0000BF"/>
    </w:rPr>
  </w:style>
  <w:style w:type="paragraph" w:styleId="SourceCode" w:customStyle="1">
    <w:name w:val="Source Code"/>
    <w:basedOn w:val="Normal"/>
    <w:link w:val="VerbatimChar"/>
    <w:pPr>
      <w:wordWrap w:val="0"/>
    </w:pPr>
  </w:style>
  <w:style w:type="character" w:styleId="KeywordTok" w:customStyle="1">
    <w:name w:val="KeywordTok"/>
    <w:basedOn w:val="VerbatimChar"/>
    <w:rPr>
      <w:b w:val="1"/>
      <w:color w:val="007020"/>
    </w:rPr>
  </w:style>
  <w:style w:type="character" w:styleId="DataTypeTok" w:customStyle="1">
    <w:name w:val="DataTypeTok"/>
    <w:basedOn w:val="VerbatimChar"/>
    <w:rPr>
      <w:color w:val="902000"/>
    </w:rPr>
  </w:style>
  <w:style w:type="character" w:styleId="DecValTok" w:customStyle="1">
    <w:name w:val="DecValTok"/>
    <w:basedOn w:val="VerbatimChar"/>
    <w:rPr>
      <w:color w:val="40a070"/>
    </w:rPr>
  </w:style>
  <w:style w:type="character" w:styleId="BaseNTok" w:customStyle="1">
    <w:name w:val="BaseNTok"/>
    <w:basedOn w:val="VerbatimChar"/>
    <w:rPr>
      <w:color w:val="40a070"/>
    </w:rPr>
  </w:style>
  <w:style w:type="character" w:styleId="FloatTok" w:customStyle="1">
    <w:name w:val="FloatTok"/>
    <w:basedOn w:val="VerbatimChar"/>
    <w:rPr>
      <w:color w:val="40a070"/>
    </w:rPr>
  </w:style>
  <w:style w:type="character" w:styleId="ConstantTok" w:customStyle="1">
    <w:name w:val="ConstantTok"/>
    <w:basedOn w:val="VerbatimChar"/>
    <w:rPr>
      <w:color w:val="880000"/>
    </w:rPr>
  </w:style>
  <w:style w:type="character" w:styleId="CharTok" w:customStyle="1">
    <w:name w:val="CharTok"/>
    <w:basedOn w:val="VerbatimChar"/>
    <w:rPr>
      <w:color w:val="4070a0"/>
    </w:rPr>
  </w:style>
  <w:style w:type="character" w:styleId="SpecialCharTok" w:customStyle="1">
    <w:name w:val="SpecialCharTok"/>
    <w:basedOn w:val="VerbatimChar"/>
    <w:rPr>
      <w:color w:val="4070a0"/>
    </w:rPr>
  </w:style>
  <w:style w:type="character" w:styleId="StringTok" w:customStyle="1">
    <w:name w:val="StringTok"/>
    <w:basedOn w:val="VerbatimChar"/>
    <w:rPr>
      <w:color w:val="4070a0"/>
    </w:rPr>
  </w:style>
  <w:style w:type="character" w:styleId="VerbatimStringTok" w:customStyle="1">
    <w:name w:val="VerbatimStringTok"/>
    <w:basedOn w:val="VerbatimChar"/>
    <w:rPr>
      <w:color w:val="4070a0"/>
    </w:rPr>
  </w:style>
  <w:style w:type="character" w:styleId="SpecialStringTok" w:customStyle="1">
    <w:name w:val="SpecialStringTok"/>
    <w:basedOn w:val="VerbatimChar"/>
    <w:rPr>
      <w:color w:val="bb6688"/>
    </w:rPr>
  </w:style>
  <w:style w:type="character" w:styleId="ImportTok" w:customStyle="1">
    <w:name w:val="ImportTok"/>
    <w:basedOn w:val="VerbatimChar"/>
    <w:rPr>
      <w:b w:val="1"/>
      <w:color w:val="008000"/>
    </w:rPr>
  </w:style>
  <w:style w:type="character" w:styleId="CommentTok" w:customStyle="1">
    <w:name w:val="CommentTok"/>
    <w:basedOn w:val="VerbatimChar"/>
    <w:rPr>
      <w:i w:val="1"/>
      <w:color w:val="60a0b0"/>
    </w:rPr>
  </w:style>
  <w:style w:type="character" w:styleId="DocumentationTok" w:customStyle="1">
    <w:name w:val="DocumentationTok"/>
    <w:basedOn w:val="VerbatimChar"/>
    <w:rPr>
      <w:i w:val="1"/>
      <w:color w:val="ba2121"/>
    </w:rPr>
  </w:style>
  <w:style w:type="character" w:styleId="AnnotationTok" w:customStyle="1">
    <w:name w:val="AnnotationTok"/>
    <w:basedOn w:val="VerbatimChar"/>
    <w:rPr>
      <w:b w:val="1"/>
      <w:i w:val="1"/>
      <w:color w:val="60a0b0"/>
    </w:rPr>
  </w:style>
  <w:style w:type="character" w:styleId="CommentVarTok" w:customStyle="1">
    <w:name w:val="CommentVarTok"/>
    <w:basedOn w:val="VerbatimChar"/>
    <w:rPr>
      <w:b w:val="1"/>
      <w:i w:val="1"/>
      <w:color w:val="60a0b0"/>
    </w:rPr>
  </w:style>
  <w:style w:type="character" w:styleId="OtherTok" w:customStyle="1">
    <w:name w:val="OtherTok"/>
    <w:basedOn w:val="VerbatimChar"/>
    <w:rPr>
      <w:color w:val="007020"/>
    </w:rPr>
  </w:style>
  <w:style w:type="character" w:styleId="FunctionTok" w:customStyle="1">
    <w:name w:val="FunctionTok"/>
    <w:basedOn w:val="VerbatimChar"/>
    <w:rPr>
      <w:color w:val="06287e"/>
    </w:rPr>
  </w:style>
  <w:style w:type="character" w:styleId="VariableTok" w:customStyle="1">
    <w:name w:val="VariableTok"/>
    <w:basedOn w:val="VerbatimChar"/>
    <w:rPr>
      <w:color w:val="19177c"/>
    </w:rPr>
  </w:style>
  <w:style w:type="character" w:styleId="ControlFlowTok" w:customStyle="1">
    <w:name w:val="ControlFlowTok"/>
    <w:basedOn w:val="VerbatimChar"/>
    <w:rPr>
      <w:b w:val="1"/>
      <w:color w:val="007020"/>
    </w:rPr>
  </w:style>
  <w:style w:type="character" w:styleId="OperatorTok" w:customStyle="1">
    <w:name w:val="OperatorTok"/>
    <w:basedOn w:val="VerbatimChar"/>
    <w:rPr>
      <w:color w:val="666666"/>
    </w:rPr>
  </w:style>
  <w:style w:type="character" w:styleId="BuiltInTok" w:customStyle="1">
    <w:name w:val="BuiltInTok"/>
    <w:basedOn w:val="VerbatimChar"/>
    <w:rPr>
      <w:color w:val="008000"/>
    </w:rPr>
  </w:style>
  <w:style w:type="character" w:styleId="ExtensionTok" w:customStyle="1">
    <w:name w:val="ExtensionTok"/>
    <w:basedOn w:val="VerbatimChar"/>
    <w:rPr/>
  </w:style>
  <w:style w:type="character" w:styleId="PreprocessorTok" w:customStyle="1">
    <w:name w:val="PreprocessorTok"/>
    <w:basedOn w:val="VerbatimChar"/>
    <w:rPr>
      <w:color w:val="bc7a00"/>
    </w:rPr>
  </w:style>
  <w:style w:type="character" w:styleId="AttributeTok" w:customStyle="1">
    <w:name w:val="AttributeTok"/>
    <w:basedOn w:val="VerbatimChar"/>
    <w:rPr>
      <w:color w:val="7d9029"/>
    </w:rPr>
  </w:style>
  <w:style w:type="character" w:styleId="RegionMarkerTok" w:customStyle="1">
    <w:name w:val="RegionMarkerTok"/>
    <w:basedOn w:val="VerbatimChar"/>
    <w:rPr/>
  </w:style>
  <w:style w:type="character" w:styleId="InformationTok" w:customStyle="1">
    <w:name w:val="InformationTok"/>
    <w:basedOn w:val="VerbatimChar"/>
    <w:rPr>
      <w:b w:val="1"/>
      <w:i w:val="1"/>
      <w:color w:val="60a0b0"/>
    </w:rPr>
  </w:style>
  <w:style w:type="character" w:styleId="WarningTok" w:customStyle="1">
    <w:name w:val="WarningTok"/>
    <w:basedOn w:val="VerbatimChar"/>
    <w:rPr>
      <w:b w:val="1"/>
      <w:i w:val="1"/>
      <w:color w:val="60a0b0"/>
    </w:rPr>
  </w:style>
  <w:style w:type="character" w:styleId="AlertTok" w:customStyle="1">
    <w:name w:val="AlertTok"/>
    <w:basedOn w:val="VerbatimChar"/>
    <w:rPr>
      <w:b w:val="1"/>
      <w:color w:val="ff0000"/>
    </w:rPr>
  </w:style>
  <w:style w:type="character" w:styleId="ErrorTok" w:customStyle="1">
    <w:name w:val="ErrorTok"/>
    <w:basedOn w:val="VerbatimChar"/>
    <w:rPr>
      <w:b w:val="1"/>
      <w:color w:val="ff0000"/>
    </w:rPr>
  </w:style>
  <w:style w:type="character" w:styleId="NormalTok" w:customStyle="1">
    <w:name w:val="NormalTok"/>
    <w:basedOn w:val="VerbatimChar"/>
    <w:rPr/>
  </w:style>
  <w:style w:type="paragraph" w:styleId="Subtitle">
    <w:name w:val="Subtitle"/>
    <w:basedOn w:val="Normal"/>
    <w:next w:val="Normal"/>
    <w:pPr>
      <w:spacing w:after="80" w:line="240" w:lineRule="auto"/>
      <w:jc w:val="center"/>
    </w:pPr>
    <w:rPr>
      <w:rFonts w:ascii="Play" w:cs="Play" w:eastAsia="Play" w:hAnsi="Play"/>
      <w:sz w:val="28"/>
      <w:szCs w:val="28"/>
    </w:rPr>
  </w:style>
  <w:style w:type="table" w:styleId="Table1">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2">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3">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4">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5">
    <w:basedOn w:val="TableNormal"/>
    <w:tblPr>
      <w:tblStyleRowBandSize w:val="1"/>
      <w:tblStyleColBandSize w:val="1"/>
      <w:tblCellMar>
        <w:top w:w="0.0" w:type="dxa"/>
        <w:left w:w="108.0" w:type="dxa"/>
        <w:bottom w:w="0.0" w:type="dxa"/>
        <w:right w:w="108.0" w:type="dxa"/>
      </w:tblCellMar>
    </w:tblPr>
    <w:tblStylePr w:type="firstRow">
      <w:tcPr>
        <w:tcBorders>
          <w:bottom w:color="000000" w:space="0" w:sz="0" w:val="nil"/>
        </w:tcBorders>
        <w:vAlign w:val="bottom"/>
      </w:tcPr>
    </w:tblStyle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authorizers.org/resource/cde-standards-for-charter-school-authorizing/" TargetMode="External"/><Relationship Id="rId10" Type="http://schemas.openxmlformats.org/officeDocument/2006/relationships/footer" Target="footer1.xml"/><Relationship Id="rId13" Type="http://schemas.openxmlformats.org/officeDocument/2006/relationships/hyperlink" Target="https://coauthorizers.org/resource/cacsa-2020-revised-application-rubric/" TargetMode="External"/><Relationship Id="rId12" Type="http://schemas.openxmlformats.org/officeDocument/2006/relationships/hyperlink" Target="https://coauthorizers.org/resource/cacsa-2020-revised-standard-appli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5" Type="http://schemas.openxmlformats.org/officeDocument/2006/relationships/hyperlink" Target="https://coauthorizers.org/resource/cacsa-standard-contract-document/" TargetMode="External"/><Relationship Id="rId14" Type="http://schemas.openxmlformats.org/officeDocument/2006/relationships/hyperlink" Target="https://coauthorizers.org/cacsa-bootcamp/" TargetMode="External"/><Relationship Id="rId17" Type="http://schemas.openxmlformats.org/officeDocument/2006/relationships/hyperlink" Target="https://coauthorizers.org/resource/cacsa-2020-annual-report-template/" TargetMode="External"/><Relationship Id="rId16" Type="http://schemas.openxmlformats.org/officeDocument/2006/relationships/hyperlink" Target="https://coauthorizers.org/resource/compliance-monitoring-power-point/" TargetMode="External"/><Relationship Id="rId5" Type="http://schemas.openxmlformats.org/officeDocument/2006/relationships/numbering" Target="numbering.xml"/><Relationship Id="rId19" Type="http://schemas.openxmlformats.org/officeDocument/2006/relationships/hyperlink" Target="https://coauthorizers.org/resource/cacsa-renewal-guide/" TargetMode="External"/><Relationship Id="rId6" Type="http://schemas.openxmlformats.org/officeDocument/2006/relationships/styles" Target="styles.xml"/><Relationship Id="rId18" Type="http://schemas.openxmlformats.org/officeDocument/2006/relationships/hyperlink" Target="https://coauthorizers.org/resource/cacsa-2020-site-visit-rubric/" TargetMode="Externa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qualitycharters.org/principles-and-standards/" TargetMode="External"/><Relationship Id="rId2" Type="http://schemas.openxmlformats.org/officeDocument/2006/relationships/hyperlink" Target="https://coauthorizers.org/resource/colorado-standards-for-charters-and-charter-school-authorizers/" TargetMode="External"/><Relationship Id="rId3" Type="http://schemas.openxmlformats.org/officeDocument/2006/relationships/hyperlink" Target="https://coloradoauthorizers.org/resources" TargetMode="External"/><Relationship Id="rId4" Type="http://schemas.openxmlformats.org/officeDocument/2006/relationships/hyperlink" Target="https://coloradoauthorizers.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5Fa2nwcNsxx26qo7LN+vTxJaw==">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2025-08-19T12:58:01Z</dcterms:created>
</cp:coreProperties>
</file>

<file path=docProps/custom.xml><?xml version="1.0" encoding="utf-8"?>
<Properties xmlns="http://schemas.openxmlformats.org/officeDocument/2006/custom-properties" xmlns:vt="http://schemas.openxmlformats.org/officeDocument/2006/docPropsVTypes"/>
</file>